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EA9" w:rsidRPr="00B55C39" w:rsidRDefault="009206AB" w:rsidP="009206AB">
      <w:pPr>
        <w:jc w:val="both"/>
        <w:rPr>
          <w:rFonts w:ascii="Century Gothic" w:hAnsi="Century Gothic"/>
          <w:sz w:val="18"/>
          <w:szCs w:val="18"/>
        </w:rPr>
      </w:pPr>
      <w:r w:rsidRPr="00B55C39">
        <w:rPr>
          <w:rFonts w:ascii="Century Gothic" w:hAnsi="Century Gothic"/>
          <w:sz w:val="18"/>
          <w:szCs w:val="18"/>
        </w:rPr>
        <w:t xml:space="preserve">El </w:t>
      </w:r>
      <w:r w:rsidR="006059FF" w:rsidRPr="00B55C39">
        <w:rPr>
          <w:rFonts w:ascii="Century Gothic" w:hAnsi="Century Gothic"/>
          <w:sz w:val="18"/>
          <w:szCs w:val="18"/>
        </w:rPr>
        <w:t>día</w:t>
      </w:r>
      <w:r w:rsidRPr="00B55C39">
        <w:rPr>
          <w:rFonts w:ascii="Century Gothic" w:hAnsi="Century Gothic"/>
          <w:sz w:val="18"/>
          <w:szCs w:val="18"/>
        </w:rPr>
        <w:t xml:space="preserve"> 29 de mayo del presente año, se publicó en el Diario Oficial de la Federación el </w:t>
      </w:r>
      <w:r w:rsidR="00A513E7" w:rsidRPr="00B55C39">
        <w:rPr>
          <w:rFonts w:ascii="Century Gothic" w:hAnsi="Century Gothic"/>
          <w:b/>
          <w:i/>
          <w:sz w:val="18"/>
          <w:szCs w:val="18"/>
        </w:rPr>
        <w:t>“Acuerdo por el que se establecen los lineamientos técnicos específicos para la reapertura de las actividades económicas</w:t>
      </w:r>
      <w:r w:rsidRPr="00B55C39">
        <w:rPr>
          <w:rFonts w:ascii="Century Gothic" w:hAnsi="Century Gothic"/>
          <w:i/>
          <w:sz w:val="18"/>
          <w:szCs w:val="18"/>
        </w:rPr>
        <w:t>”</w:t>
      </w:r>
      <w:r w:rsidRPr="00B55C39">
        <w:rPr>
          <w:rFonts w:ascii="Century Gothic" w:hAnsi="Century Gothic"/>
          <w:sz w:val="18"/>
          <w:szCs w:val="18"/>
        </w:rPr>
        <w:t xml:space="preserve"> en el cual se establecen diversos criterios que las empresas deberán cumplir para llevar a cabo la continuidad o reapertura de sus operaciones, teniendo en cuenta las siguientes acciones:</w:t>
      </w:r>
    </w:p>
    <w:p w:rsidR="009206AB" w:rsidRPr="00B55C39" w:rsidRDefault="009206AB" w:rsidP="009206AB">
      <w:pPr>
        <w:jc w:val="both"/>
        <w:rPr>
          <w:rFonts w:ascii="Century Gothic" w:hAnsi="Century Gothic"/>
          <w:sz w:val="18"/>
          <w:szCs w:val="18"/>
        </w:rPr>
      </w:pPr>
      <w:r w:rsidRPr="00B55C39">
        <w:rPr>
          <w:rFonts w:ascii="Century Gothic" w:hAnsi="Century Gothic"/>
          <w:sz w:val="18"/>
          <w:szCs w:val="18"/>
        </w:rPr>
        <w:t xml:space="preserve">Los lineamientos técnicos son de aplicación general para todos los centros de trabajo, y tienen por objeto establecer las medidas </w:t>
      </w:r>
      <w:r w:rsidR="00BD6428" w:rsidRPr="00B55C39">
        <w:rPr>
          <w:rFonts w:ascii="Century Gothic" w:hAnsi="Century Gothic"/>
          <w:sz w:val="18"/>
          <w:szCs w:val="18"/>
        </w:rPr>
        <w:t>específicas</w:t>
      </w:r>
      <w:r w:rsidRPr="00B55C39">
        <w:rPr>
          <w:rFonts w:ascii="Century Gothic" w:hAnsi="Century Gothic"/>
          <w:sz w:val="18"/>
          <w:szCs w:val="18"/>
        </w:rPr>
        <w:t xml:space="preserve"> que las actividades económicas deberán implementar en el marco de la estrategia g</w:t>
      </w:r>
      <w:r w:rsidR="00BD6428" w:rsidRPr="00B55C39">
        <w:rPr>
          <w:rFonts w:ascii="Century Gothic" w:hAnsi="Century Gothic"/>
          <w:sz w:val="18"/>
          <w:szCs w:val="18"/>
        </w:rPr>
        <w:t>eneral para la nueva normalidad, para lograr un retorno o la continuidad de las actividades laborales de manera segura, escalonada y responsable.</w:t>
      </w:r>
    </w:p>
    <w:p w:rsidR="00BD6428" w:rsidRPr="00B55C39" w:rsidRDefault="00BD6428" w:rsidP="00BD6428">
      <w:pPr>
        <w:jc w:val="both"/>
        <w:rPr>
          <w:rFonts w:ascii="Century Gothic" w:hAnsi="Century Gothic"/>
          <w:sz w:val="18"/>
          <w:szCs w:val="18"/>
        </w:rPr>
      </w:pPr>
      <w:r w:rsidRPr="00B55C39">
        <w:rPr>
          <w:rFonts w:ascii="Century Gothic" w:hAnsi="Century Gothic"/>
          <w:sz w:val="18"/>
          <w:szCs w:val="18"/>
        </w:rPr>
        <w:t>En dicho acuerdo, se incluyen listas de comprobación de medidas que facilitan a todos los centros de trabajo la identificación de las medidas necesarias a implementar, recursos de capacitación (CLIMSS) y de asesoría por parte del IMSS, y un mecanismo en línea a través del cual los centros de trabajo esenciales deberán obligatoriamente autoevaluar su cumplimiento.</w:t>
      </w:r>
    </w:p>
    <w:p w:rsidR="006059FF" w:rsidRPr="00B55C39" w:rsidRDefault="00BD6428" w:rsidP="00A513E7">
      <w:pPr>
        <w:jc w:val="both"/>
        <w:rPr>
          <w:rFonts w:ascii="Century Gothic" w:hAnsi="Century Gothic"/>
          <w:b/>
          <w:sz w:val="18"/>
          <w:szCs w:val="18"/>
        </w:rPr>
      </w:pPr>
      <w:r w:rsidRPr="00B55C39">
        <w:rPr>
          <w:rFonts w:ascii="Century Gothic" w:hAnsi="Century Gothic"/>
          <w:sz w:val="18"/>
          <w:szCs w:val="18"/>
        </w:rPr>
        <w:t xml:space="preserve">A partir del 01 de junio iniciaría la etapa de reapertura socioeconómica mediante un sistema de </w:t>
      </w:r>
      <w:r w:rsidR="00B55C39">
        <w:rPr>
          <w:rFonts w:ascii="Century Gothic" w:hAnsi="Century Gothic"/>
          <w:sz w:val="18"/>
          <w:szCs w:val="18"/>
        </w:rPr>
        <w:t xml:space="preserve">semáforo </w:t>
      </w:r>
      <w:bookmarkStart w:id="0" w:name="_GoBack"/>
      <w:bookmarkEnd w:id="0"/>
      <w:r w:rsidRPr="00B55C39">
        <w:rPr>
          <w:rFonts w:ascii="Century Gothic" w:hAnsi="Century Gothic"/>
          <w:sz w:val="18"/>
          <w:szCs w:val="18"/>
        </w:rPr>
        <w:t xml:space="preserve">de riesgo epidemiológico semanal por regiones (estatal o municipal), que determinara el nivel de alerta sanitaria </w:t>
      </w:r>
      <w:r w:rsidR="00A513E7" w:rsidRPr="00B55C39">
        <w:rPr>
          <w:rFonts w:ascii="Century Gothic" w:hAnsi="Century Gothic"/>
          <w:sz w:val="18"/>
          <w:szCs w:val="18"/>
        </w:rPr>
        <w:t xml:space="preserve">y definirá </w:t>
      </w:r>
      <w:r w:rsidR="006059FF" w:rsidRPr="00B55C39">
        <w:rPr>
          <w:rFonts w:ascii="Century Gothic" w:hAnsi="Century Gothic"/>
          <w:sz w:val="18"/>
          <w:szCs w:val="18"/>
        </w:rPr>
        <w:t xml:space="preserve">que tipo de actividades están autorizadas para llevarse a cabo en los ámbitos económico, laboral, escolar y social. Los niveles de alerta del semáforo son máximo, alto, medio y bajo, y serán dictados por la Autoridad Federal. </w:t>
      </w:r>
      <w:r w:rsidR="006059FF" w:rsidRPr="00B55C39">
        <w:rPr>
          <w:rFonts w:ascii="Century Gothic" w:hAnsi="Century Gothic"/>
          <w:b/>
          <w:sz w:val="18"/>
          <w:szCs w:val="18"/>
        </w:rPr>
        <w:t xml:space="preserve">Para el caso de las empresas esenciales (AGRICOLAS), estas deberán llevar a cabo obligatoriamente su mecanismo de autoevaluación en línea en la </w:t>
      </w:r>
      <w:proofErr w:type="spellStart"/>
      <w:r w:rsidR="006059FF" w:rsidRPr="00B55C39">
        <w:rPr>
          <w:rFonts w:ascii="Century Gothic" w:hAnsi="Century Gothic"/>
          <w:b/>
          <w:sz w:val="18"/>
          <w:szCs w:val="18"/>
        </w:rPr>
        <w:t>pagina</w:t>
      </w:r>
      <w:proofErr w:type="spellEnd"/>
      <w:r w:rsidR="006059FF" w:rsidRPr="00B55C39">
        <w:rPr>
          <w:rFonts w:ascii="Century Gothic" w:hAnsi="Century Gothic"/>
          <w:b/>
          <w:sz w:val="18"/>
          <w:szCs w:val="18"/>
        </w:rPr>
        <w:t xml:space="preserve"> </w:t>
      </w:r>
      <w:hyperlink r:id="rId5" w:history="1">
        <w:r w:rsidR="006059FF" w:rsidRPr="00B55C39">
          <w:rPr>
            <w:rStyle w:val="Hipervnculo"/>
            <w:rFonts w:ascii="Century Gothic" w:hAnsi="Century Gothic"/>
            <w:b/>
            <w:sz w:val="18"/>
            <w:szCs w:val="18"/>
          </w:rPr>
          <w:t>www.nuevanormalidad.gob.mx</w:t>
        </w:r>
      </w:hyperlink>
    </w:p>
    <w:p w:rsidR="006059FF" w:rsidRPr="00B55C39" w:rsidRDefault="006059FF" w:rsidP="006059FF">
      <w:pPr>
        <w:jc w:val="both"/>
        <w:rPr>
          <w:rFonts w:ascii="Century Gothic" w:hAnsi="Century Gothic"/>
          <w:sz w:val="18"/>
          <w:szCs w:val="18"/>
        </w:rPr>
      </w:pPr>
      <w:r w:rsidRPr="00B55C39">
        <w:rPr>
          <w:rFonts w:ascii="Century Gothic" w:hAnsi="Century Gothic"/>
          <w:sz w:val="18"/>
          <w:szCs w:val="18"/>
        </w:rPr>
        <w:t>Con el fin de que los centros de trabajo puedan identificar las medidas obligatorias para el retorno o la continuidad de sus labores, se contemplan cuatro dimensiones que deberán considerarse:</w:t>
      </w:r>
    </w:p>
    <w:p w:rsidR="006059FF" w:rsidRPr="00B55C39" w:rsidRDefault="006059FF" w:rsidP="006059FF">
      <w:pPr>
        <w:pStyle w:val="Prrafodelista"/>
        <w:numPr>
          <w:ilvl w:val="0"/>
          <w:numId w:val="1"/>
        </w:numPr>
        <w:jc w:val="both"/>
        <w:rPr>
          <w:rFonts w:ascii="Century Gothic" w:hAnsi="Century Gothic"/>
          <w:sz w:val="18"/>
          <w:szCs w:val="18"/>
        </w:rPr>
      </w:pPr>
      <w:r w:rsidRPr="00B55C39">
        <w:rPr>
          <w:rFonts w:ascii="Century Gothic" w:hAnsi="Century Gothic"/>
          <w:sz w:val="18"/>
          <w:szCs w:val="18"/>
        </w:rPr>
        <w:t>El tipo de actividad (esencial o no esencial)</w:t>
      </w:r>
    </w:p>
    <w:p w:rsidR="006059FF" w:rsidRPr="00B55C39" w:rsidRDefault="006059FF" w:rsidP="006059FF">
      <w:pPr>
        <w:pStyle w:val="Prrafodelista"/>
        <w:numPr>
          <w:ilvl w:val="0"/>
          <w:numId w:val="1"/>
        </w:numPr>
        <w:jc w:val="both"/>
        <w:rPr>
          <w:rFonts w:ascii="Century Gothic" w:hAnsi="Century Gothic"/>
          <w:sz w:val="18"/>
          <w:szCs w:val="18"/>
        </w:rPr>
      </w:pPr>
      <w:r w:rsidRPr="00B55C39">
        <w:rPr>
          <w:rFonts w:ascii="Century Gothic" w:hAnsi="Century Gothic"/>
          <w:sz w:val="18"/>
          <w:szCs w:val="18"/>
        </w:rPr>
        <w:t>El tamaño del centro de trabajo</w:t>
      </w:r>
    </w:p>
    <w:p w:rsidR="006059FF" w:rsidRPr="00B55C39" w:rsidRDefault="006059FF" w:rsidP="006059FF">
      <w:pPr>
        <w:pStyle w:val="Prrafodelista"/>
        <w:numPr>
          <w:ilvl w:val="0"/>
          <w:numId w:val="1"/>
        </w:numPr>
        <w:jc w:val="both"/>
        <w:rPr>
          <w:rFonts w:ascii="Century Gothic" w:hAnsi="Century Gothic"/>
          <w:sz w:val="18"/>
          <w:szCs w:val="18"/>
        </w:rPr>
      </w:pPr>
      <w:r w:rsidRPr="00B55C39">
        <w:rPr>
          <w:rFonts w:ascii="Century Gothic" w:hAnsi="Century Gothic"/>
          <w:sz w:val="18"/>
          <w:szCs w:val="18"/>
        </w:rPr>
        <w:t>El nivel de alerta sanitaria de la ubicación del centro de trabajo</w:t>
      </w:r>
    </w:p>
    <w:p w:rsidR="006059FF" w:rsidRPr="00B55C39" w:rsidRDefault="006059FF" w:rsidP="006059FF">
      <w:pPr>
        <w:pStyle w:val="Prrafodelista"/>
        <w:numPr>
          <w:ilvl w:val="0"/>
          <w:numId w:val="1"/>
        </w:numPr>
        <w:jc w:val="both"/>
        <w:rPr>
          <w:rFonts w:ascii="Century Gothic" w:hAnsi="Century Gothic"/>
          <w:sz w:val="18"/>
          <w:szCs w:val="18"/>
        </w:rPr>
      </w:pPr>
      <w:r w:rsidRPr="00B55C39">
        <w:rPr>
          <w:rFonts w:ascii="Century Gothic" w:hAnsi="Century Gothic"/>
          <w:sz w:val="18"/>
          <w:szCs w:val="18"/>
        </w:rPr>
        <w:t>Las características del centro de trabajo</w:t>
      </w:r>
    </w:p>
    <w:p w:rsidR="006059FF" w:rsidRPr="00B55C39" w:rsidRDefault="006059FF" w:rsidP="00A513E7">
      <w:pPr>
        <w:jc w:val="both"/>
        <w:rPr>
          <w:rFonts w:ascii="Century Gothic" w:hAnsi="Century Gothic"/>
          <w:sz w:val="18"/>
          <w:szCs w:val="18"/>
        </w:rPr>
      </w:pPr>
      <w:r w:rsidRPr="00B55C39">
        <w:rPr>
          <w:rFonts w:ascii="Century Gothic" w:hAnsi="Century Gothic"/>
          <w:sz w:val="18"/>
          <w:szCs w:val="18"/>
        </w:rPr>
        <w:t>NOTA: En el caso de que el nivel de alerta sea máximo (rojo), los centros de trabajo con actividades esenciales (agrícolas) podrán continuar labores con las restricciones incluidas en los lineamientos publicados por la Autoridad y que se señalan en el presente documento.</w:t>
      </w:r>
    </w:p>
    <w:p w:rsidR="006059FF" w:rsidRPr="00B55C39" w:rsidRDefault="006059FF" w:rsidP="00A513E7">
      <w:pPr>
        <w:jc w:val="both"/>
        <w:rPr>
          <w:rFonts w:ascii="Century Gothic" w:hAnsi="Century Gothic"/>
          <w:b/>
          <w:sz w:val="18"/>
          <w:szCs w:val="18"/>
        </w:rPr>
      </w:pPr>
      <w:r w:rsidRPr="00B55C39">
        <w:rPr>
          <w:rFonts w:ascii="Century Gothic" w:hAnsi="Century Gothic"/>
          <w:b/>
          <w:sz w:val="18"/>
          <w:szCs w:val="18"/>
        </w:rPr>
        <w:t>Identificar el tipo de actividad.</w:t>
      </w:r>
    </w:p>
    <w:p w:rsidR="006059FF" w:rsidRPr="00B55C39" w:rsidRDefault="006059FF" w:rsidP="00A513E7">
      <w:pPr>
        <w:jc w:val="both"/>
        <w:rPr>
          <w:rFonts w:ascii="Century Gothic" w:hAnsi="Century Gothic"/>
          <w:sz w:val="18"/>
          <w:szCs w:val="18"/>
        </w:rPr>
      </w:pPr>
      <w:r w:rsidRPr="00B55C39">
        <w:rPr>
          <w:rFonts w:ascii="Century Gothic" w:hAnsi="Century Gothic"/>
          <w:sz w:val="18"/>
          <w:szCs w:val="18"/>
        </w:rPr>
        <w:t xml:space="preserve">A la </w:t>
      </w:r>
      <w:r w:rsidR="00730F34" w:rsidRPr="00B55C39">
        <w:rPr>
          <w:rFonts w:ascii="Century Gothic" w:hAnsi="Century Gothic"/>
          <w:sz w:val="18"/>
          <w:szCs w:val="18"/>
        </w:rPr>
        <w:t>“</w:t>
      </w:r>
      <w:r w:rsidRPr="00B55C39">
        <w:rPr>
          <w:rFonts w:ascii="Century Gothic" w:hAnsi="Century Gothic"/>
          <w:sz w:val="18"/>
          <w:szCs w:val="18"/>
        </w:rPr>
        <w:t>producción agrícola</w:t>
      </w:r>
      <w:r w:rsidR="00730F34" w:rsidRPr="00B55C39">
        <w:rPr>
          <w:rFonts w:ascii="Century Gothic" w:hAnsi="Century Gothic"/>
          <w:sz w:val="18"/>
          <w:szCs w:val="18"/>
        </w:rPr>
        <w:t>”</w:t>
      </w:r>
      <w:r w:rsidRPr="00B55C39">
        <w:rPr>
          <w:rFonts w:ascii="Century Gothic" w:hAnsi="Century Gothic"/>
          <w:sz w:val="18"/>
          <w:szCs w:val="18"/>
        </w:rPr>
        <w:t xml:space="preserve"> la Autoridad la cla</w:t>
      </w:r>
      <w:r w:rsidR="00730F34" w:rsidRPr="00B55C39">
        <w:rPr>
          <w:rFonts w:ascii="Century Gothic" w:hAnsi="Century Gothic"/>
          <w:sz w:val="18"/>
          <w:szCs w:val="18"/>
        </w:rPr>
        <w:t>sifico como actividad esencial, lo cual podemos observar en el punto número 15 del Acuerdo publicado.</w:t>
      </w:r>
    </w:p>
    <w:p w:rsidR="00730F34" w:rsidRPr="00B55C39" w:rsidRDefault="00730F34" w:rsidP="00A513E7">
      <w:pPr>
        <w:jc w:val="both"/>
        <w:rPr>
          <w:rFonts w:ascii="Century Gothic" w:hAnsi="Century Gothic"/>
          <w:b/>
          <w:sz w:val="18"/>
          <w:szCs w:val="18"/>
        </w:rPr>
      </w:pPr>
      <w:r w:rsidRPr="00B55C39">
        <w:rPr>
          <w:rFonts w:ascii="Century Gothic" w:hAnsi="Century Gothic"/>
          <w:b/>
          <w:sz w:val="18"/>
          <w:szCs w:val="18"/>
        </w:rPr>
        <w:t>Identificar el nivel de riesgo epidemiológico</w:t>
      </w:r>
    </w:p>
    <w:p w:rsidR="00730F34" w:rsidRPr="00B55C39" w:rsidRDefault="00730F34" w:rsidP="00A513E7">
      <w:pPr>
        <w:jc w:val="both"/>
        <w:rPr>
          <w:rFonts w:ascii="Century Gothic" w:hAnsi="Century Gothic"/>
          <w:sz w:val="18"/>
          <w:szCs w:val="18"/>
        </w:rPr>
      </w:pPr>
      <w:r w:rsidRPr="00B55C39">
        <w:rPr>
          <w:rFonts w:ascii="Century Gothic" w:hAnsi="Century Gothic"/>
          <w:sz w:val="18"/>
          <w:szCs w:val="18"/>
        </w:rPr>
        <w:t>Los centros de trabajo deberán identificar el nivel de riesgo establecido para el municipio o población en el cual se encuentren ubicados, de conformidad con el sistema de alerta sanitaria. Dicho sistema consiste en un semáforo de aplicación regional que permite comunicar la magnitud de la transmisión del COVID-19, el cual se estará actualizando semanalmente y consta de cuatro niveles de alerta: rojo para alerta máxima, naranja para alerta alta, amarillo para alerta intermedia y verde para alerta cotidiana.</w:t>
      </w:r>
    </w:p>
    <w:tbl>
      <w:tblPr>
        <w:tblW w:w="8992" w:type="dxa"/>
        <w:tblInd w:w="7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21"/>
        <w:gridCol w:w="2977"/>
        <w:gridCol w:w="4394"/>
      </w:tblGrid>
      <w:tr w:rsidR="00730F34" w:rsidRPr="00730F34" w:rsidTr="00730F34">
        <w:trPr>
          <w:trHeight w:val="631"/>
        </w:trPr>
        <w:tc>
          <w:tcPr>
            <w:tcW w:w="1621"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730F34" w:rsidRPr="00730F34" w:rsidRDefault="00730F34" w:rsidP="00730F34">
            <w:pPr>
              <w:spacing w:after="101" w:line="240" w:lineRule="auto"/>
              <w:jc w:val="center"/>
              <w:rPr>
                <w:rFonts w:ascii="Century Gothic" w:eastAsia="Times New Roman" w:hAnsi="Century Gothic" w:cs="Arial"/>
                <w:color w:val="000000"/>
                <w:sz w:val="10"/>
                <w:szCs w:val="10"/>
                <w:lang w:eastAsia="es-MX"/>
              </w:rPr>
            </w:pPr>
            <w:r w:rsidRPr="00730F34">
              <w:rPr>
                <w:rFonts w:ascii="Century Gothic" w:eastAsia="Times New Roman" w:hAnsi="Century Gothic" w:cs="Arial"/>
                <w:b/>
                <w:bCs/>
                <w:color w:val="000000"/>
                <w:sz w:val="10"/>
                <w:szCs w:val="10"/>
                <w:lang w:eastAsia="es-MX"/>
              </w:rPr>
              <w:t>Nivel de riesgo</w:t>
            </w:r>
            <w:r w:rsidRPr="00730F34">
              <w:rPr>
                <w:rFonts w:ascii="Century Gothic" w:eastAsia="Times New Roman" w:hAnsi="Century Gothic" w:cs="Arial"/>
                <w:color w:val="000000"/>
                <w:sz w:val="10"/>
                <w:szCs w:val="10"/>
                <w:lang w:eastAsia="es-MX"/>
              </w:rPr>
              <w:br/>
            </w:r>
            <w:r w:rsidRPr="00730F34">
              <w:rPr>
                <w:rFonts w:ascii="Century Gothic" w:eastAsia="Times New Roman" w:hAnsi="Century Gothic" w:cs="Arial"/>
                <w:b/>
                <w:bCs/>
                <w:color w:val="000000"/>
                <w:sz w:val="10"/>
                <w:szCs w:val="10"/>
                <w:lang w:eastAsia="es-MX"/>
              </w:rPr>
              <w:t>epidemiológico</w:t>
            </w:r>
          </w:p>
        </w:tc>
        <w:tc>
          <w:tcPr>
            <w:tcW w:w="2977"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730F34" w:rsidRPr="00730F34" w:rsidRDefault="00730F34" w:rsidP="00730F34">
            <w:pPr>
              <w:spacing w:after="101" w:line="240" w:lineRule="auto"/>
              <w:jc w:val="center"/>
              <w:rPr>
                <w:rFonts w:ascii="Century Gothic" w:eastAsia="Times New Roman" w:hAnsi="Century Gothic" w:cs="Arial"/>
                <w:color w:val="000000"/>
                <w:sz w:val="10"/>
                <w:szCs w:val="10"/>
                <w:lang w:eastAsia="es-MX"/>
              </w:rPr>
            </w:pPr>
            <w:r w:rsidRPr="00730F34">
              <w:rPr>
                <w:rFonts w:ascii="Century Gothic" w:eastAsia="Times New Roman" w:hAnsi="Century Gothic" w:cs="Arial"/>
                <w:b/>
                <w:bCs/>
                <w:color w:val="000000"/>
                <w:sz w:val="10"/>
                <w:szCs w:val="10"/>
                <w:lang w:eastAsia="es-MX"/>
              </w:rPr>
              <w:t>Descripción</w:t>
            </w:r>
          </w:p>
        </w:tc>
        <w:tc>
          <w:tcPr>
            <w:tcW w:w="4394"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730F34" w:rsidRPr="00730F34" w:rsidRDefault="00730F34" w:rsidP="00730F34">
            <w:pPr>
              <w:spacing w:after="101" w:line="240" w:lineRule="auto"/>
              <w:jc w:val="center"/>
              <w:rPr>
                <w:rFonts w:ascii="Century Gothic" w:eastAsia="Times New Roman" w:hAnsi="Century Gothic" w:cs="Arial"/>
                <w:color w:val="000000"/>
                <w:sz w:val="10"/>
                <w:szCs w:val="10"/>
                <w:lang w:eastAsia="es-MX"/>
              </w:rPr>
            </w:pPr>
            <w:r w:rsidRPr="00730F34">
              <w:rPr>
                <w:rFonts w:ascii="Century Gothic" w:eastAsia="Times New Roman" w:hAnsi="Century Gothic" w:cs="Arial"/>
                <w:b/>
                <w:bCs/>
                <w:color w:val="000000"/>
                <w:sz w:val="10"/>
                <w:szCs w:val="10"/>
                <w:lang w:eastAsia="es-MX"/>
              </w:rPr>
              <w:t>Ejemplos de medidas</w:t>
            </w:r>
          </w:p>
        </w:tc>
      </w:tr>
      <w:tr w:rsidR="00730F34" w:rsidRPr="00730F34" w:rsidTr="00681EF1">
        <w:trPr>
          <w:trHeight w:val="1846"/>
        </w:trPr>
        <w:tc>
          <w:tcPr>
            <w:tcW w:w="16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30F34" w:rsidRPr="00730F34" w:rsidRDefault="00681EF1" w:rsidP="00730F34">
            <w:pPr>
              <w:spacing w:after="101" w:line="240" w:lineRule="auto"/>
              <w:jc w:val="center"/>
              <w:rPr>
                <w:rFonts w:ascii="Century Gothic" w:eastAsia="Times New Roman" w:hAnsi="Century Gothic" w:cs="Arial"/>
                <w:color w:val="000000"/>
                <w:sz w:val="10"/>
                <w:szCs w:val="10"/>
                <w:lang w:eastAsia="es-MX"/>
              </w:rPr>
            </w:pPr>
            <w:r w:rsidRPr="00730F34">
              <w:rPr>
                <w:rFonts w:ascii="Century Gothic" w:eastAsia="Times New Roman" w:hAnsi="Century Gothic" w:cs="Arial"/>
                <w:b/>
                <w:bCs/>
                <w:color w:val="000000"/>
                <w:sz w:val="10"/>
                <w:szCs w:val="10"/>
                <w:lang w:eastAsia="es-MX"/>
              </w:rPr>
              <w:lastRenderedPageBreak/>
              <w:t>MÁXIMO</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30F34" w:rsidRPr="00730F34" w:rsidRDefault="00730F34" w:rsidP="00730F34">
            <w:pPr>
              <w:spacing w:after="101" w:line="240" w:lineRule="auto"/>
              <w:jc w:val="center"/>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Sólo se encuentran en operación las</w:t>
            </w:r>
            <w:r w:rsidRPr="00730F34">
              <w:rPr>
                <w:rFonts w:ascii="Century Gothic" w:eastAsia="Times New Roman" w:hAnsi="Century Gothic" w:cs="Arial"/>
                <w:color w:val="000000"/>
                <w:sz w:val="10"/>
                <w:szCs w:val="10"/>
                <w:lang w:eastAsia="es-MX"/>
              </w:rPr>
              <w:br/>
              <w:t>actividades esenciales</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Se activan los protocolos para favorecer el trabajo en casa.</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Asegurarse de que existe distancia de 1.5 metros entre personas; cuando esto no se pueda cumplir, se dotará de Equipo de Protección Personal (EPP) a las personas trabajadoras.</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Colocar barreras físicas en las estaciones de trabajo, comedores, etc.</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Incrementar la frecuencia en el transporte y alternar asientos.</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El personal vulnerable debe trabajar desde casa.</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Establecer escalonamientos y flexibilización de horarios y turnos.</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Filtro de ingreso y egreso de trabajadores.</w:t>
            </w:r>
          </w:p>
        </w:tc>
      </w:tr>
      <w:tr w:rsidR="00730F34" w:rsidRPr="00730F34" w:rsidTr="00681EF1">
        <w:trPr>
          <w:trHeight w:val="1929"/>
        </w:trPr>
        <w:tc>
          <w:tcPr>
            <w:tcW w:w="16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30F34" w:rsidRPr="00730F34" w:rsidRDefault="00681EF1" w:rsidP="00730F34">
            <w:pPr>
              <w:spacing w:after="101" w:line="240" w:lineRule="auto"/>
              <w:jc w:val="center"/>
              <w:rPr>
                <w:rFonts w:ascii="Century Gothic" w:eastAsia="Times New Roman" w:hAnsi="Century Gothic" w:cs="Arial"/>
                <w:color w:val="000000"/>
                <w:sz w:val="10"/>
                <w:szCs w:val="10"/>
                <w:lang w:eastAsia="es-MX"/>
              </w:rPr>
            </w:pPr>
            <w:r w:rsidRPr="00730F34">
              <w:rPr>
                <w:rFonts w:ascii="Century Gothic" w:eastAsia="Times New Roman" w:hAnsi="Century Gothic" w:cs="Arial"/>
                <w:b/>
                <w:bCs/>
                <w:color w:val="000000"/>
                <w:sz w:val="10"/>
                <w:szCs w:val="10"/>
                <w:lang w:eastAsia="es-MX"/>
              </w:rPr>
              <w:t>ALTO</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30F34" w:rsidRPr="00730F34" w:rsidRDefault="00730F34" w:rsidP="00730F34">
            <w:pPr>
              <w:spacing w:after="101" w:line="240" w:lineRule="auto"/>
              <w:jc w:val="center"/>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Operación plena de actividades</w:t>
            </w:r>
            <w:r w:rsidRPr="00730F34">
              <w:rPr>
                <w:rFonts w:ascii="Century Gothic" w:eastAsia="Times New Roman" w:hAnsi="Century Gothic" w:cs="Arial"/>
                <w:color w:val="000000"/>
                <w:sz w:val="10"/>
                <w:szCs w:val="10"/>
                <w:lang w:eastAsia="es-MX"/>
              </w:rPr>
              <w:br/>
              <w:t>esenciales y operación reducida en</w:t>
            </w:r>
            <w:r w:rsidRPr="00730F34">
              <w:rPr>
                <w:rFonts w:ascii="Century Gothic" w:eastAsia="Times New Roman" w:hAnsi="Century Gothic" w:cs="Arial"/>
                <w:color w:val="000000"/>
                <w:sz w:val="10"/>
                <w:szCs w:val="10"/>
                <w:lang w:eastAsia="es-MX"/>
              </w:rPr>
              <w:br/>
              <w:t>actividades no esenciales</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Se activan los protocolos para favorecer el trabajo en casa.</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Presencia de personal al 30% de las actividades no esenciales.</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Asegurarse de que existe distancia de 1.5 metros entre personas; cuando esto no se pueda cumplir, se dotará de EPP a las personas trabajadoras.</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Colocar barreras físicas en las estaciones de trabajo, comedores, etc.</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Incrementar la frecuencia en el transporte y alternar asientos.</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Establecer escalonamientos y flexibilización de horarios y turnos.</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Prestar atención permanente en la población vulnerable.</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Reforzar de ingreso y egreso de trabajadores.</w:t>
            </w:r>
          </w:p>
        </w:tc>
      </w:tr>
    </w:tbl>
    <w:p w:rsidR="00730F34" w:rsidRPr="00730F34" w:rsidRDefault="00730F34" w:rsidP="00730F34">
      <w:pPr>
        <w:spacing w:after="0" w:line="240" w:lineRule="auto"/>
        <w:rPr>
          <w:rFonts w:ascii="Century Gothic" w:eastAsia="Times New Roman" w:hAnsi="Century Gothic" w:cs="Times New Roman"/>
          <w:vanish/>
          <w:sz w:val="10"/>
          <w:szCs w:val="10"/>
          <w:lang w:eastAsia="es-MX"/>
        </w:rPr>
      </w:pPr>
    </w:p>
    <w:tbl>
      <w:tblPr>
        <w:tblW w:w="8992" w:type="dxa"/>
        <w:tblInd w:w="7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21"/>
        <w:gridCol w:w="2977"/>
        <w:gridCol w:w="4394"/>
      </w:tblGrid>
      <w:tr w:rsidR="00730F34" w:rsidRPr="00730F34" w:rsidTr="00681EF1">
        <w:trPr>
          <w:trHeight w:val="1358"/>
        </w:trPr>
        <w:tc>
          <w:tcPr>
            <w:tcW w:w="16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30F34" w:rsidRPr="00730F34" w:rsidRDefault="00681EF1" w:rsidP="00730F34">
            <w:pPr>
              <w:spacing w:after="101" w:line="240" w:lineRule="auto"/>
              <w:jc w:val="center"/>
              <w:rPr>
                <w:rFonts w:ascii="Century Gothic" w:eastAsia="Times New Roman" w:hAnsi="Century Gothic" w:cs="Arial"/>
                <w:color w:val="000000"/>
                <w:sz w:val="10"/>
                <w:szCs w:val="10"/>
                <w:lang w:eastAsia="es-MX"/>
              </w:rPr>
            </w:pPr>
            <w:r w:rsidRPr="00730F34">
              <w:rPr>
                <w:rFonts w:ascii="Century Gothic" w:eastAsia="Times New Roman" w:hAnsi="Century Gothic" w:cs="Arial"/>
                <w:b/>
                <w:bCs/>
                <w:color w:val="000000"/>
                <w:sz w:val="10"/>
                <w:szCs w:val="10"/>
                <w:lang w:eastAsia="es-MX"/>
              </w:rPr>
              <w:t>INTERMEDIO</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30F34" w:rsidRPr="00730F34" w:rsidRDefault="00730F34" w:rsidP="00730F34">
            <w:pPr>
              <w:spacing w:after="101" w:line="240" w:lineRule="auto"/>
              <w:jc w:val="center"/>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Actividades acotadas en el espacio</w:t>
            </w:r>
            <w:r w:rsidRPr="00730F34">
              <w:rPr>
                <w:rFonts w:ascii="Century Gothic" w:eastAsia="Times New Roman" w:hAnsi="Century Gothic" w:cs="Arial"/>
                <w:color w:val="000000"/>
                <w:sz w:val="10"/>
                <w:szCs w:val="10"/>
                <w:lang w:eastAsia="es-MX"/>
              </w:rPr>
              <w:br/>
              <w:t>público y actividad económica plena</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Favorecer el trabajo desde casa.</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Asegurarse de que existe distancia de 1.5 metros entre personas.</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Colocar barreras físicas en las estaciones de trabajo, comedores, etc.</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Incrementar la frecuencia en el transporte y alternar asientos.</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Prestar atención permanente a la población vulnerable.</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Mantener activo el filtro de ingreso y egreso de trabajadores.</w:t>
            </w:r>
          </w:p>
        </w:tc>
      </w:tr>
      <w:tr w:rsidR="00730F34" w:rsidRPr="00730F34" w:rsidTr="00681EF1">
        <w:trPr>
          <w:trHeight w:val="681"/>
        </w:trPr>
        <w:tc>
          <w:tcPr>
            <w:tcW w:w="16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30F34" w:rsidRPr="00730F34" w:rsidRDefault="00681EF1" w:rsidP="00730F34">
            <w:pPr>
              <w:spacing w:after="101" w:line="240" w:lineRule="auto"/>
              <w:jc w:val="center"/>
              <w:rPr>
                <w:rFonts w:ascii="Century Gothic" w:eastAsia="Times New Roman" w:hAnsi="Century Gothic" w:cs="Arial"/>
                <w:color w:val="000000"/>
                <w:sz w:val="10"/>
                <w:szCs w:val="10"/>
                <w:lang w:eastAsia="es-MX"/>
              </w:rPr>
            </w:pPr>
            <w:r w:rsidRPr="00730F34">
              <w:rPr>
                <w:rFonts w:ascii="Century Gothic" w:eastAsia="Times New Roman" w:hAnsi="Century Gothic" w:cs="Arial"/>
                <w:b/>
                <w:bCs/>
                <w:color w:val="000000"/>
                <w:sz w:val="10"/>
                <w:szCs w:val="10"/>
                <w:lang w:eastAsia="es-MX"/>
              </w:rPr>
              <w:t>COTIDIANO</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30F34" w:rsidRPr="00730F34" w:rsidRDefault="00730F34" w:rsidP="00730F34">
            <w:pPr>
              <w:spacing w:after="101" w:line="240" w:lineRule="auto"/>
              <w:jc w:val="center"/>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Reanudación de actividades</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Presencia de todo el personal en el centro de trabajo.</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Implementación de medidas de protección de la salud.</w:t>
            </w:r>
          </w:p>
          <w:p w:rsidR="00730F34" w:rsidRPr="00730F34" w:rsidRDefault="00730F34" w:rsidP="00730F34">
            <w:pPr>
              <w:spacing w:after="101" w:line="240" w:lineRule="auto"/>
              <w:jc w:val="both"/>
              <w:rPr>
                <w:rFonts w:ascii="Century Gothic" w:eastAsia="Times New Roman" w:hAnsi="Century Gothic" w:cs="Arial"/>
                <w:color w:val="000000"/>
                <w:sz w:val="10"/>
                <w:szCs w:val="10"/>
                <w:lang w:eastAsia="es-MX"/>
              </w:rPr>
            </w:pPr>
            <w:r w:rsidRPr="00730F34">
              <w:rPr>
                <w:rFonts w:ascii="Century Gothic" w:eastAsia="Times New Roman" w:hAnsi="Century Gothic" w:cs="Arial"/>
                <w:color w:val="000000"/>
                <w:sz w:val="10"/>
                <w:szCs w:val="10"/>
                <w:lang w:eastAsia="es-MX"/>
              </w:rPr>
              <w:t>Prestar atención permanente a la población vulnerable.</w:t>
            </w:r>
          </w:p>
        </w:tc>
      </w:tr>
    </w:tbl>
    <w:p w:rsidR="00730F34" w:rsidRDefault="00730F34" w:rsidP="00A513E7">
      <w:pPr>
        <w:jc w:val="both"/>
        <w:rPr>
          <w:rFonts w:ascii="Century Gothic" w:hAnsi="Century Gothic"/>
          <w:sz w:val="20"/>
          <w:szCs w:val="20"/>
        </w:rPr>
      </w:pPr>
    </w:p>
    <w:p w:rsidR="00730F34" w:rsidRPr="00B55C39" w:rsidRDefault="00681EF1" w:rsidP="00A513E7">
      <w:pPr>
        <w:jc w:val="both"/>
        <w:rPr>
          <w:rFonts w:ascii="Century Gothic" w:hAnsi="Century Gothic"/>
          <w:b/>
          <w:sz w:val="18"/>
          <w:szCs w:val="18"/>
        </w:rPr>
      </w:pPr>
      <w:r w:rsidRPr="00B55C39">
        <w:rPr>
          <w:rFonts w:ascii="Century Gothic" w:hAnsi="Century Gothic"/>
          <w:b/>
          <w:sz w:val="18"/>
          <w:szCs w:val="18"/>
        </w:rPr>
        <w:t>Identificar el tamaño del centro de trabajo</w:t>
      </w:r>
    </w:p>
    <w:tbl>
      <w:tblPr>
        <w:tblpPr w:leftFromText="141" w:rightFromText="141" w:vertAnchor="text" w:horzAnchor="margin" w:tblpXSpec="center" w:tblpY="45"/>
        <w:tblW w:w="0" w:type="auto"/>
        <w:shd w:val="clear" w:color="auto" w:fill="FFFFFF"/>
        <w:tblCellMar>
          <w:top w:w="15" w:type="dxa"/>
          <w:left w:w="15" w:type="dxa"/>
          <w:bottom w:w="15" w:type="dxa"/>
          <w:right w:w="15" w:type="dxa"/>
        </w:tblCellMar>
        <w:tblLook w:val="04A0" w:firstRow="1" w:lastRow="0" w:firstColumn="1" w:lastColumn="0" w:noHBand="0" w:noVBand="1"/>
      </w:tblPr>
      <w:tblGrid>
        <w:gridCol w:w="914"/>
        <w:gridCol w:w="1638"/>
        <w:gridCol w:w="2551"/>
      </w:tblGrid>
      <w:tr w:rsidR="00681EF1" w:rsidRPr="00681EF1" w:rsidTr="00681EF1">
        <w:trPr>
          <w:trHeight w:val="332"/>
        </w:trPr>
        <w:tc>
          <w:tcPr>
            <w:tcW w:w="914"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b/>
                <w:bCs/>
                <w:color w:val="000000"/>
                <w:sz w:val="10"/>
                <w:szCs w:val="10"/>
                <w:lang w:eastAsia="es-MX"/>
              </w:rPr>
              <w:t>Tamaño</w:t>
            </w:r>
          </w:p>
        </w:tc>
        <w:tc>
          <w:tcPr>
            <w:tcW w:w="1638"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b/>
                <w:bCs/>
                <w:color w:val="000000"/>
                <w:sz w:val="10"/>
                <w:szCs w:val="10"/>
                <w:lang w:eastAsia="es-MX"/>
              </w:rPr>
              <w:t>Sector</w:t>
            </w:r>
          </w:p>
        </w:tc>
        <w:tc>
          <w:tcPr>
            <w:tcW w:w="2551"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b/>
                <w:bCs/>
                <w:color w:val="000000"/>
                <w:sz w:val="10"/>
                <w:szCs w:val="10"/>
                <w:lang w:eastAsia="es-MX"/>
              </w:rPr>
              <w:t>Rango de número de personas trabajadoras</w:t>
            </w:r>
          </w:p>
        </w:tc>
      </w:tr>
      <w:tr w:rsidR="00681EF1" w:rsidRPr="00681EF1" w:rsidTr="00681EF1">
        <w:trPr>
          <w:trHeight w:val="317"/>
        </w:trPr>
        <w:tc>
          <w:tcPr>
            <w:tcW w:w="9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Micro</w:t>
            </w:r>
          </w:p>
        </w:tc>
        <w:tc>
          <w:tcPr>
            <w:tcW w:w="16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Todas</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Hasta 10</w:t>
            </w:r>
          </w:p>
        </w:tc>
      </w:tr>
      <w:tr w:rsidR="00681EF1" w:rsidRPr="00681EF1" w:rsidTr="00681EF1">
        <w:trPr>
          <w:trHeight w:val="317"/>
        </w:trPr>
        <w:tc>
          <w:tcPr>
            <w:tcW w:w="914"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Pequeña</w:t>
            </w:r>
          </w:p>
        </w:tc>
        <w:tc>
          <w:tcPr>
            <w:tcW w:w="16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Comercio</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Desde 11 hasta 30</w:t>
            </w:r>
          </w:p>
        </w:tc>
      </w:tr>
      <w:tr w:rsidR="00681EF1" w:rsidRPr="00681EF1" w:rsidTr="00681EF1">
        <w:trPr>
          <w:trHeight w:val="317"/>
        </w:trPr>
        <w:tc>
          <w:tcPr>
            <w:tcW w:w="914" w:type="dxa"/>
            <w:vMerge/>
            <w:tcBorders>
              <w:top w:val="single" w:sz="6" w:space="0" w:color="000000"/>
              <w:left w:val="single" w:sz="6" w:space="0" w:color="000000"/>
              <w:right w:val="single" w:sz="6" w:space="0" w:color="000000"/>
            </w:tcBorders>
            <w:shd w:val="clear" w:color="auto" w:fill="FFFFFF"/>
            <w:vAlign w:val="center"/>
            <w:hideMark/>
          </w:tcPr>
          <w:p w:rsidR="00681EF1" w:rsidRPr="00681EF1" w:rsidRDefault="00681EF1" w:rsidP="00681EF1">
            <w:pPr>
              <w:spacing w:after="0" w:line="240" w:lineRule="auto"/>
              <w:jc w:val="both"/>
              <w:rPr>
                <w:rFonts w:ascii="Century Gothic" w:eastAsia="Times New Roman" w:hAnsi="Century Gothic" w:cs="Arial"/>
                <w:color w:val="000000"/>
                <w:sz w:val="10"/>
                <w:szCs w:val="10"/>
                <w:lang w:eastAsia="es-MX"/>
              </w:rPr>
            </w:pPr>
          </w:p>
        </w:tc>
        <w:tc>
          <w:tcPr>
            <w:tcW w:w="16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Industria y Servicios</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Desde 11 hasta 50</w:t>
            </w:r>
          </w:p>
        </w:tc>
      </w:tr>
      <w:tr w:rsidR="00681EF1" w:rsidRPr="00681EF1" w:rsidTr="00681EF1">
        <w:trPr>
          <w:trHeight w:val="30"/>
        </w:trPr>
        <w:tc>
          <w:tcPr>
            <w:tcW w:w="914"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Mediana</w:t>
            </w:r>
          </w:p>
        </w:tc>
        <w:tc>
          <w:tcPr>
            <w:tcW w:w="16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Comercio</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Desde 31 hasta 100</w:t>
            </w:r>
          </w:p>
        </w:tc>
      </w:tr>
      <w:tr w:rsidR="00681EF1" w:rsidRPr="00681EF1" w:rsidTr="00681EF1">
        <w:trPr>
          <w:trHeight w:val="317"/>
        </w:trPr>
        <w:tc>
          <w:tcPr>
            <w:tcW w:w="914" w:type="dxa"/>
            <w:vMerge/>
            <w:tcBorders>
              <w:top w:val="single" w:sz="6" w:space="0" w:color="000000"/>
              <w:left w:val="single" w:sz="6" w:space="0" w:color="000000"/>
              <w:right w:val="single" w:sz="6" w:space="0" w:color="000000"/>
            </w:tcBorders>
            <w:shd w:val="clear" w:color="auto" w:fill="FFFFFF"/>
            <w:vAlign w:val="center"/>
            <w:hideMark/>
          </w:tcPr>
          <w:p w:rsidR="00681EF1" w:rsidRPr="00681EF1" w:rsidRDefault="00681EF1" w:rsidP="00681EF1">
            <w:pPr>
              <w:spacing w:after="0" w:line="240" w:lineRule="auto"/>
              <w:jc w:val="both"/>
              <w:rPr>
                <w:rFonts w:ascii="Century Gothic" w:eastAsia="Times New Roman" w:hAnsi="Century Gothic" w:cs="Arial"/>
                <w:color w:val="000000"/>
                <w:sz w:val="10"/>
                <w:szCs w:val="10"/>
                <w:lang w:eastAsia="es-MX"/>
              </w:rPr>
            </w:pPr>
          </w:p>
        </w:tc>
        <w:tc>
          <w:tcPr>
            <w:tcW w:w="16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Servicios</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Desde 51 hasta 100</w:t>
            </w:r>
          </w:p>
        </w:tc>
      </w:tr>
      <w:tr w:rsidR="00681EF1" w:rsidRPr="00681EF1" w:rsidTr="00681EF1">
        <w:trPr>
          <w:trHeight w:val="317"/>
        </w:trPr>
        <w:tc>
          <w:tcPr>
            <w:tcW w:w="914" w:type="dxa"/>
            <w:vMerge/>
            <w:tcBorders>
              <w:top w:val="single" w:sz="6" w:space="0" w:color="000000"/>
              <w:left w:val="single" w:sz="6" w:space="0" w:color="000000"/>
              <w:right w:val="single" w:sz="6" w:space="0" w:color="000000"/>
            </w:tcBorders>
            <w:shd w:val="clear" w:color="auto" w:fill="FFFFFF"/>
            <w:vAlign w:val="center"/>
            <w:hideMark/>
          </w:tcPr>
          <w:p w:rsidR="00681EF1" w:rsidRPr="00681EF1" w:rsidRDefault="00681EF1" w:rsidP="00681EF1">
            <w:pPr>
              <w:spacing w:after="0" w:line="240" w:lineRule="auto"/>
              <w:jc w:val="both"/>
              <w:rPr>
                <w:rFonts w:ascii="Century Gothic" w:eastAsia="Times New Roman" w:hAnsi="Century Gothic" w:cs="Arial"/>
                <w:color w:val="000000"/>
                <w:sz w:val="10"/>
                <w:szCs w:val="10"/>
                <w:lang w:eastAsia="es-MX"/>
              </w:rPr>
            </w:pPr>
          </w:p>
        </w:tc>
        <w:tc>
          <w:tcPr>
            <w:tcW w:w="16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Industria</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Desde 51 hasta 250</w:t>
            </w:r>
          </w:p>
        </w:tc>
      </w:tr>
      <w:tr w:rsidR="00681EF1" w:rsidRPr="00681EF1" w:rsidTr="00681EF1">
        <w:trPr>
          <w:trHeight w:val="317"/>
        </w:trPr>
        <w:tc>
          <w:tcPr>
            <w:tcW w:w="914"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Grande</w:t>
            </w:r>
          </w:p>
        </w:tc>
        <w:tc>
          <w:tcPr>
            <w:tcW w:w="16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Servicios y Comercio</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Desde 101</w:t>
            </w:r>
          </w:p>
        </w:tc>
      </w:tr>
      <w:tr w:rsidR="00681EF1" w:rsidRPr="00681EF1" w:rsidTr="00681EF1">
        <w:trPr>
          <w:trHeight w:val="332"/>
        </w:trPr>
        <w:tc>
          <w:tcPr>
            <w:tcW w:w="914" w:type="dxa"/>
            <w:vMerge/>
            <w:tcBorders>
              <w:top w:val="single" w:sz="6" w:space="0" w:color="000000"/>
              <w:left w:val="single" w:sz="6" w:space="0" w:color="000000"/>
              <w:right w:val="single" w:sz="6" w:space="0" w:color="000000"/>
            </w:tcBorders>
            <w:shd w:val="clear" w:color="auto" w:fill="FFFFFF"/>
            <w:vAlign w:val="center"/>
            <w:hideMark/>
          </w:tcPr>
          <w:p w:rsidR="00681EF1" w:rsidRPr="00681EF1" w:rsidRDefault="00681EF1" w:rsidP="00681EF1">
            <w:pPr>
              <w:spacing w:after="0" w:line="240" w:lineRule="auto"/>
              <w:jc w:val="both"/>
              <w:rPr>
                <w:rFonts w:ascii="Century Gothic" w:eastAsia="Times New Roman" w:hAnsi="Century Gothic" w:cs="Arial"/>
                <w:color w:val="000000"/>
                <w:sz w:val="10"/>
                <w:szCs w:val="10"/>
                <w:lang w:eastAsia="es-MX"/>
              </w:rPr>
            </w:pPr>
          </w:p>
        </w:tc>
        <w:tc>
          <w:tcPr>
            <w:tcW w:w="16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Industria</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681EF1" w:rsidRPr="00681EF1" w:rsidRDefault="00681EF1" w:rsidP="00681EF1">
            <w:pPr>
              <w:spacing w:after="101" w:line="240" w:lineRule="auto"/>
              <w:jc w:val="center"/>
              <w:rPr>
                <w:rFonts w:ascii="Century Gothic" w:eastAsia="Times New Roman" w:hAnsi="Century Gothic" w:cs="Arial"/>
                <w:color w:val="000000"/>
                <w:sz w:val="10"/>
                <w:szCs w:val="10"/>
                <w:lang w:eastAsia="es-MX"/>
              </w:rPr>
            </w:pPr>
            <w:r w:rsidRPr="00681EF1">
              <w:rPr>
                <w:rFonts w:ascii="Century Gothic" w:eastAsia="Times New Roman" w:hAnsi="Century Gothic" w:cs="Arial"/>
                <w:color w:val="000000"/>
                <w:sz w:val="10"/>
                <w:szCs w:val="10"/>
                <w:lang w:eastAsia="es-MX"/>
              </w:rPr>
              <w:t>Desde 251</w:t>
            </w:r>
          </w:p>
        </w:tc>
      </w:tr>
    </w:tbl>
    <w:p w:rsidR="009206AB" w:rsidRDefault="009206AB"/>
    <w:p w:rsidR="00681EF1" w:rsidRDefault="00681EF1"/>
    <w:p w:rsidR="00681EF1" w:rsidRDefault="00681EF1"/>
    <w:p w:rsidR="00681EF1" w:rsidRDefault="00681EF1"/>
    <w:p w:rsidR="00681EF1" w:rsidRDefault="00681EF1"/>
    <w:p w:rsidR="00681EF1" w:rsidRDefault="00681EF1"/>
    <w:p w:rsidR="00681EF1" w:rsidRDefault="00681EF1"/>
    <w:p w:rsidR="00681EF1" w:rsidRDefault="00681EF1"/>
    <w:p w:rsidR="00681EF1" w:rsidRPr="00B55C39" w:rsidRDefault="00681EF1">
      <w:pPr>
        <w:rPr>
          <w:rFonts w:ascii="Century Gothic" w:hAnsi="Century Gothic"/>
          <w:b/>
          <w:sz w:val="18"/>
          <w:szCs w:val="18"/>
        </w:rPr>
      </w:pPr>
      <w:r w:rsidRPr="00B55C39">
        <w:rPr>
          <w:rFonts w:ascii="Century Gothic" w:hAnsi="Century Gothic"/>
          <w:b/>
          <w:sz w:val="18"/>
          <w:szCs w:val="18"/>
        </w:rPr>
        <w:t>Identificar características internas del centro de trabajo</w:t>
      </w:r>
    </w:p>
    <w:p w:rsidR="00681EF1" w:rsidRPr="00B55C39" w:rsidRDefault="008E50F0">
      <w:pPr>
        <w:rPr>
          <w:rFonts w:ascii="Century Gothic" w:hAnsi="Century Gothic"/>
          <w:sz w:val="18"/>
          <w:szCs w:val="18"/>
        </w:rPr>
      </w:pPr>
      <w:r w:rsidRPr="00B55C39">
        <w:rPr>
          <w:rFonts w:ascii="Century Gothic" w:hAnsi="Century Gothic"/>
          <w:sz w:val="18"/>
          <w:szCs w:val="18"/>
        </w:rPr>
        <w:t>Se deberán identificar las características particulares del centro de trabajo, considerando lo siguiente:</w:t>
      </w:r>
    </w:p>
    <w:p w:rsidR="008E50F0" w:rsidRPr="00B55C39" w:rsidRDefault="008E50F0" w:rsidP="008E50F0">
      <w:pPr>
        <w:pStyle w:val="Prrafodelista"/>
        <w:numPr>
          <w:ilvl w:val="0"/>
          <w:numId w:val="2"/>
        </w:numPr>
        <w:rPr>
          <w:rFonts w:ascii="Century Gothic" w:hAnsi="Century Gothic"/>
          <w:sz w:val="18"/>
          <w:szCs w:val="18"/>
        </w:rPr>
      </w:pPr>
      <w:r w:rsidRPr="00B55C39">
        <w:rPr>
          <w:rFonts w:ascii="Century Gothic" w:hAnsi="Century Gothic"/>
          <w:sz w:val="18"/>
          <w:szCs w:val="18"/>
        </w:rPr>
        <w:t>El personal en situación de vulnerabilidad o mayor riesgo de contagio para cada una de las áreas de trabajo.</w:t>
      </w:r>
    </w:p>
    <w:p w:rsidR="008E50F0" w:rsidRPr="00B55C39" w:rsidRDefault="008E50F0" w:rsidP="008E50F0">
      <w:pPr>
        <w:pStyle w:val="Prrafodelista"/>
        <w:numPr>
          <w:ilvl w:val="0"/>
          <w:numId w:val="2"/>
        </w:numPr>
        <w:rPr>
          <w:rFonts w:ascii="Century Gothic" w:hAnsi="Century Gothic"/>
          <w:sz w:val="18"/>
          <w:szCs w:val="18"/>
        </w:rPr>
      </w:pPr>
      <w:r w:rsidRPr="00B55C39">
        <w:rPr>
          <w:rFonts w:ascii="Century Gothic" w:hAnsi="Century Gothic"/>
          <w:sz w:val="18"/>
          <w:szCs w:val="18"/>
        </w:rPr>
        <w:t>El personal que tiene a su cargo el cuidado de menores de edad, personas adultas mayores, personas en situación de vulnerabilidad o mayor riesgo de contagio.</w:t>
      </w:r>
    </w:p>
    <w:p w:rsidR="008E50F0" w:rsidRPr="00B55C39" w:rsidRDefault="008E50F0" w:rsidP="008E50F0">
      <w:pPr>
        <w:pStyle w:val="Prrafodelista"/>
        <w:numPr>
          <w:ilvl w:val="0"/>
          <w:numId w:val="2"/>
        </w:numPr>
        <w:rPr>
          <w:rFonts w:ascii="Century Gothic" w:hAnsi="Century Gothic"/>
          <w:sz w:val="18"/>
          <w:szCs w:val="18"/>
        </w:rPr>
      </w:pPr>
      <w:r w:rsidRPr="00B55C39">
        <w:rPr>
          <w:rFonts w:ascii="Century Gothic" w:hAnsi="Century Gothic"/>
          <w:sz w:val="18"/>
          <w:szCs w:val="18"/>
        </w:rPr>
        <w:t>Las áreas o departamentos con los que cuenta el centro de trabajo (oficinas, bodegas, áreas de atención al público y áreas comunes)</w:t>
      </w:r>
    </w:p>
    <w:p w:rsidR="008E50F0" w:rsidRPr="00B55C39" w:rsidRDefault="00040BAA" w:rsidP="00040BAA">
      <w:pPr>
        <w:jc w:val="both"/>
        <w:rPr>
          <w:rFonts w:ascii="Century Gothic" w:hAnsi="Century Gothic"/>
          <w:sz w:val="18"/>
          <w:szCs w:val="18"/>
        </w:rPr>
      </w:pPr>
      <w:r w:rsidRPr="00B55C39">
        <w:rPr>
          <w:rFonts w:ascii="Century Gothic" w:hAnsi="Century Gothic"/>
          <w:sz w:val="18"/>
          <w:szCs w:val="18"/>
        </w:rPr>
        <w:lastRenderedPageBreak/>
        <w:t>Los centros de trabajo deberán implementar obligatoriamente las estrategias de control contenidas en el documento anexo “FORMATO POLITICAS DE SEGURIDAD SANITARIA COVID-19”, en el cual se establecen las estrategias generales de promoción de la salud y seguridad sanitaria en el entorno laboral.</w:t>
      </w:r>
    </w:p>
    <w:p w:rsidR="00A23AF6" w:rsidRPr="00B55C39" w:rsidRDefault="00A23AF6" w:rsidP="00040BAA">
      <w:pPr>
        <w:jc w:val="both"/>
        <w:rPr>
          <w:rFonts w:ascii="Century Gothic" w:hAnsi="Century Gothic"/>
          <w:sz w:val="18"/>
          <w:szCs w:val="18"/>
        </w:rPr>
      </w:pPr>
      <w:r w:rsidRPr="00B55C39">
        <w:rPr>
          <w:rFonts w:ascii="Century Gothic" w:hAnsi="Century Gothic"/>
          <w:sz w:val="18"/>
          <w:szCs w:val="18"/>
        </w:rPr>
        <w:t xml:space="preserve">Es importante reiterar, que todos los centros de trabajo esenciales (agrícolas) deben autoevaluarse en la herramienta disponible para ello en la página web </w:t>
      </w:r>
      <w:hyperlink r:id="rId6" w:history="1">
        <w:r w:rsidRPr="00B55C39">
          <w:rPr>
            <w:rStyle w:val="Hipervnculo"/>
            <w:rFonts w:ascii="Century Gothic" w:hAnsi="Century Gothic"/>
            <w:sz w:val="18"/>
            <w:szCs w:val="18"/>
          </w:rPr>
          <w:t>www.nuevanormalidad.gob.mx</w:t>
        </w:r>
      </w:hyperlink>
      <w:r w:rsidRPr="00B55C39">
        <w:rPr>
          <w:rFonts w:ascii="Century Gothic" w:hAnsi="Century Gothic"/>
          <w:sz w:val="18"/>
          <w:szCs w:val="18"/>
        </w:rPr>
        <w:t xml:space="preserve">, </w:t>
      </w:r>
      <w:r w:rsidR="00B55C39" w:rsidRPr="00B55C39">
        <w:rPr>
          <w:rFonts w:ascii="Century Gothic" w:hAnsi="Century Gothic"/>
          <w:sz w:val="18"/>
          <w:szCs w:val="18"/>
        </w:rPr>
        <w:t>así</w:t>
      </w:r>
      <w:r w:rsidRPr="00B55C39">
        <w:rPr>
          <w:rFonts w:ascii="Century Gothic" w:hAnsi="Century Gothic"/>
          <w:sz w:val="18"/>
          <w:szCs w:val="18"/>
        </w:rPr>
        <w:t xml:space="preserve"> como también señalar a partir de la entrada en vigor de la nueva normalidad el 01 de junio del 2020 NO es necesario la obtención de permiso previo alguno para reiniciar o continuar operaciones, ya que la obligación de los centros de trabajo se circunscribe al cumplimiento de las medidas establecidas en los lineamientos publicados, por lo que, en caso de ser inspeccionados por la autoridad federal competente, deberán demostrar que cumplen con las siguientes medidas:</w:t>
      </w:r>
    </w:p>
    <w:tbl>
      <w:tblPr>
        <w:tblStyle w:val="Tablaconcuadrcula"/>
        <w:tblpPr w:leftFromText="141" w:rightFromText="141" w:vertAnchor="text" w:horzAnchor="margin" w:tblpY="6"/>
        <w:tblW w:w="8842" w:type="dxa"/>
        <w:tblLook w:val="04A0" w:firstRow="1" w:lastRow="0" w:firstColumn="1" w:lastColumn="0" w:noHBand="0" w:noVBand="1"/>
      </w:tblPr>
      <w:tblGrid>
        <w:gridCol w:w="1413"/>
        <w:gridCol w:w="5950"/>
        <w:gridCol w:w="409"/>
        <w:gridCol w:w="582"/>
        <w:gridCol w:w="488"/>
      </w:tblGrid>
      <w:tr w:rsidR="00B55C39" w:rsidRPr="004E57D3" w:rsidTr="00B55C39">
        <w:tc>
          <w:tcPr>
            <w:tcW w:w="1413" w:type="dxa"/>
          </w:tcPr>
          <w:p w:rsidR="00B55C39" w:rsidRPr="00B55C39" w:rsidRDefault="00B55C39" w:rsidP="00B55C39">
            <w:pPr>
              <w:jc w:val="center"/>
              <w:rPr>
                <w:rFonts w:ascii="Century Gothic" w:hAnsi="Century Gothic"/>
                <w:b/>
                <w:sz w:val="14"/>
                <w:szCs w:val="14"/>
              </w:rPr>
            </w:pPr>
            <w:r w:rsidRPr="00B55C39">
              <w:rPr>
                <w:rFonts w:ascii="Century Gothic" w:hAnsi="Century Gothic"/>
                <w:b/>
                <w:sz w:val="14"/>
                <w:szCs w:val="14"/>
              </w:rPr>
              <w:t>TIPO DE MEDIDA</w:t>
            </w:r>
          </w:p>
        </w:tc>
        <w:tc>
          <w:tcPr>
            <w:tcW w:w="5953" w:type="dxa"/>
          </w:tcPr>
          <w:p w:rsidR="00B55C39" w:rsidRPr="00B55C39" w:rsidRDefault="00B55C39" w:rsidP="00B55C39">
            <w:pPr>
              <w:jc w:val="center"/>
              <w:rPr>
                <w:rFonts w:ascii="Century Gothic" w:hAnsi="Century Gothic"/>
                <w:b/>
                <w:sz w:val="14"/>
                <w:szCs w:val="14"/>
              </w:rPr>
            </w:pPr>
            <w:r w:rsidRPr="00B55C39">
              <w:rPr>
                <w:rFonts w:ascii="Century Gothic" w:hAnsi="Century Gothic"/>
                <w:b/>
                <w:sz w:val="14"/>
                <w:szCs w:val="14"/>
              </w:rPr>
              <w:t>MEDIDA</w:t>
            </w:r>
          </w:p>
        </w:tc>
        <w:tc>
          <w:tcPr>
            <w:tcW w:w="409" w:type="dxa"/>
          </w:tcPr>
          <w:p w:rsidR="00B55C39" w:rsidRPr="00B55C39" w:rsidRDefault="00B55C39" w:rsidP="00B55C39">
            <w:pPr>
              <w:jc w:val="center"/>
              <w:rPr>
                <w:rFonts w:ascii="Century Gothic" w:hAnsi="Century Gothic"/>
                <w:b/>
                <w:sz w:val="14"/>
                <w:szCs w:val="14"/>
              </w:rPr>
            </w:pPr>
            <w:r w:rsidRPr="00B55C39">
              <w:rPr>
                <w:rFonts w:ascii="Century Gothic" w:hAnsi="Century Gothic"/>
                <w:b/>
                <w:sz w:val="14"/>
                <w:szCs w:val="14"/>
              </w:rPr>
              <w:t>SI</w:t>
            </w:r>
          </w:p>
        </w:tc>
        <w:tc>
          <w:tcPr>
            <w:tcW w:w="582" w:type="dxa"/>
          </w:tcPr>
          <w:p w:rsidR="00B55C39" w:rsidRPr="00B55C39" w:rsidRDefault="00B55C39" w:rsidP="00B55C39">
            <w:pPr>
              <w:jc w:val="center"/>
              <w:rPr>
                <w:rFonts w:ascii="Century Gothic" w:hAnsi="Century Gothic"/>
                <w:b/>
                <w:sz w:val="14"/>
                <w:szCs w:val="14"/>
              </w:rPr>
            </w:pPr>
            <w:r w:rsidRPr="00B55C39">
              <w:rPr>
                <w:rFonts w:ascii="Century Gothic" w:hAnsi="Century Gothic"/>
                <w:b/>
                <w:sz w:val="14"/>
                <w:szCs w:val="14"/>
              </w:rPr>
              <w:t>NO</w:t>
            </w:r>
          </w:p>
        </w:tc>
        <w:tc>
          <w:tcPr>
            <w:tcW w:w="485" w:type="dxa"/>
          </w:tcPr>
          <w:p w:rsidR="00B55C39" w:rsidRPr="00B55C39" w:rsidRDefault="00B55C39" w:rsidP="00B55C39">
            <w:pPr>
              <w:jc w:val="center"/>
              <w:rPr>
                <w:rFonts w:ascii="Century Gothic" w:hAnsi="Century Gothic"/>
                <w:b/>
                <w:sz w:val="14"/>
                <w:szCs w:val="14"/>
              </w:rPr>
            </w:pPr>
            <w:r w:rsidRPr="00B55C39">
              <w:rPr>
                <w:rFonts w:ascii="Century Gothic" w:hAnsi="Century Gothic"/>
                <w:b/>
                <w:sz w:val="14"/>
                <w:szCs w:val="14"/>
              </w:rPr>
              <w:t>N/A</w:t>
            </w: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Se designa un comité o persona responsable de la implementación y supervisión de las medidas para la nueva normalidad en el marco del COVID-19. Dicho comité o persona responsable deberá realizar las siguientes actividades:</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Llevar a cabo la categorización del centro de trabajo, con el fin de identificar las medidas que deberán ser implementadas.</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Se cerciora que las estrategias generales de contro</w:t>
            </w:r>
            <w:r>
              <w:rPr>
                <w:rFonts w:ascii="Century Gothic" w:hAnsi="Century Gothic"/>
                <w:sz w:val="14"/>
                <w:szCs w:val="14"/>
              </w:rPr>
              <w:t>l</w:t>
            </w:r>
            <w:r w:rsidRPr="004E57D3">
              <w:rPr>
                <w:rFonts w:ascii="Century Gothic" w:hAnsi="Century Gothic"/>
                <w:sz w:val="14"/>
                <w:szCs w:val="14"/>
              </w:rPr>
              <w:t xml:space="preserve"> son correctamente implementadas.</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Se mantiene informado de las indicaciones de la autoridad federal para, en su caso, comunicar a la población trabajadora sobre nuevas medidas que deban implementarse.</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Se identifica a la población en situación de vulnerabilidad para la implementación de las medidas de protección necesarias.</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Se constata la correcta implementación de todas las medidas en la empresa o el centro de trabajo.</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 xml:space="preserve">En caso de que el proceso productivo o servicio lo permita, las estaciones y áreas de trabajo de delimitan con barreras físicas, en caso contrario, las estaciones de trabajo se delimitan con señalizaciones o marcas en el piso asegurando la distancia </w:t>
            </w:r>
            <w:r w:rsidRPr="004E57D3">
              <w:rPr>
                <w:rFonts w:ascii="Century Gothic" w:hAnsi="Century Gothic"/>
                <w:sz w:val="14"/>
                <w:szCs w:val="14"/>
              </w:rPr>
              <w:t>mínima</w:t>
            </w:r>
            <w:r w:rsidRPr="004E57D3">
              <w:rPr>
                <w:rFonts w:ascii="Century Gothic" w:hAnsi="Century Gothic"/>
                <w:sz w:val="14"/>
                <w:szCs w:val="14"/>
              </w:rPr>
              <w:t xml:space="preserve"> de 1.5 metros entre las personas trabajadoras.</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Se cuenta con protocolos de acceso con filtro sanitario que incluye la determinación de la temperatura corporal al ingreso y egreso de la empresa. En caso de no ser posible determinar la temperatura corporal al egreso de las instalaciones, esta deberá tomarse antes de que concluya el turno en las estaciones de trabajo donde se ubican las personas trabajadoras.</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 xml:space="preserve">Cuenta con lineamientos para el </w:t>
            </w:r>
            <w:r w:rsidRPr="004E57D3">
              <w:rPr>
                <w:rFonts w:ascii="Century Gothic" w:hAnsi="Century Gothic"/>
                <w:sz w:val="14"/>
                <w:szCs w:val="14"/>
              </w:rPr>
              <w:t>control</w:t>
            </w:r>
            <w:r w:rsidRPr="004E57D3">
              <w:rPr>
                <w:rFonts w:ascii="Century Gothic" w:hAnsi="Century Gothic"/>
                <w:sz w:val="14"/>
                <w:szCs w:val="14"/>
              </w:rPr>
              <w:t xml:space="preserve"> de visitas, proveedores y contratistas en materia de higiene, sana distancia y uso obligado de </w:t>
            </w:r>
            <w:r w:rsidRPr="004E57D3">
              <w:rPr>
                <w:rFonts w:ascii="Century Gothic" w:hAnsi="Century Gothic"/>
                <w:sz w:val="14"/>
                <w:szCs w:val="14"/>
              </w:rPr>
              <w:t>cubre bocas</w:t>
            </w:r>
            <w:r w:rsidRPr="004E57D3">
              <w:rPr>
                <w:rFonts w:ascii="Century Gothic" w:hAnsi="Century Gothic"/>
                <w:sz w:val="14"/>
                <w:szCs w:val="14"/>
              </w:rPr>
              <w:t xml:space="preserve"> que debe seguirse al ingreso, permanencia y salida del lugar.</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 xml:space="preserve">Cuenta con protocolos de limpieza y desinfección de áreas, superficies, objetos de contacto y de uso común, que incluyen lavar con agua, </w:t>
            </w:r>
            <w:r w:rsidRPr="004E57D3">
              <w:rPr>
                <w:rFonts w:ascii="Century Gothic" w:hAnsi="Century Gothic"/>
                <w:sz w:val="14"/>
                <w:szCs w:val="14"/>
              </w:rPr>
              <w:t>jabón</w:t>
            </w:r>
            <w:r w:rsidRPr="004E57D3">
              <w:rPr>
                <w:rFonts w:ascii="Century Gothic" w:hAnsi="Century Gothic"/>
                <w:sz w:val="14"/>
                <w:szCs w:val="14"/>
              </w:rPr>
              <w:t xml:space="preserve"> y desinfectar con una solución de hipoclorito de sodio al 0.5 % (equivalente a 5000 ppm)</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 xml:space="preserve">Se les proporcione a todas las personas trabajadoras del centro de trabajo </w:t>
            </w:r>
            <w:r w:rsidRPr="004E57D3">
              <w:rPr>
                <w:rFonts w:ascii="Century Gothic" w:hAnsi="Century Gothic"/>
                <w:sz w:val="14"/>
                <w:szCs w:val="14"/>
              </w:rPr>
              <w:t>cubre bocas</w:t>
            </w:r>
            <w:r w:rsidRPr="004E57D3">
              <w:rPr>
                <w:rFonts w:ascii="Century Gothic" w:hAnsi="Century Gothic"/>
                <w:sz w:val="14"/>
                <w:szCs w:val="14"/>
              </w:rPr>
              <w:t xml:space="preserve"> y protección ocular o facial, según lo permita el puesto de trabajo; en aquellas áreas que por su tamaño y </w:t>
            </w:r>
            <w:r w:rsidRPr="004E57D3">
              <w:rPr>
                <w:rFonts w:ascii="Century Gothic" w:hAnsi="Century Gothic"/>
                <w:sz w:val="14"/>
                <w:szCs w:val="14"/>
              </w:rPr>
              <w:t>distribución</w:t>
            </w:r>
            <w:r w:rsidRPr="004E57D3">
              <w:rPr>
                <w:rFonts w:ascii="Century Gothic" w:hAnsi="Century Gothic"/>
                <w:sz w:val="14"/>
                <w:szCs w:val="14"/>
              </w:rPr>
              <w:t xml:space="preserve"> de equipos sea complejo, se mantienen distancias </w:t>
            </w:r>
            <w:r w:rsidRPr="004E57D3">
              <w:rPr>
                <w:rFonts w:ascii="Century Gothic" w:hAnsi="Century Gothic"/>
                <w:sz w:val="14"/>
                <w:szCs w:val="14"/>
              </w:rPr>
              <w:t>mínimas</w:t>
            </w:r>
            <w:r w:rsidRPr="004E57D3">
              <w:rPr>
                <w:rFonts w:ascii="Century Gothic" w:hAnsi="Century Gothic"/>
                <w:sz w:val="14"/>
                <w:szCs w:val="14"/>
              </w:rPr>
              <w:t xml:space="preserve"> de al menos 1.5 metros entre personas trabajadoras.</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 xml:space="preserve">Todas las personas trabajadoras tienen acceso a agua, </w:t>
            </w:r>
            <w:r w:rsidRPr="004E57D3">
              <w:rPr>
                <w:rFonts w:ascii="Century Gothic" w:hAnsi="Century Gothic"/>
                <w:sz w:val="14"/>
                <w:szCs w:val="14"/>
              </w:rPr>
              <w:t>jabón</w:t>
            </w:r>
            <w:r w:rsidRPr="004E57D3">
              <w:rPr>
                <w:rFonts w:ascii="Century Gothic" w:hAnsi="Century Gothic"/>
                <w:sz w:val="14"/>
                <w:szCs w:val="14"/>
              </w:rPr>
              <w:t xml:space="preserve">, toallas desechables de papel, </w:t>
            </w:r>
            <w:r w:rsidRPr="004E57D3">
              <w:rPr>
                <w:rFonts w:ascii="Century Gothic" w:hAnsi="Century Gothic"/>
                <w:sz w:val="14"/>
                <w:szCs w:val="14"/>
              </w:rPr>
              <w:t>así</w:t>
            </w:r>
            <w:r w:rsidRPr="004E57D3">
              <w:rPr>
                <w:rFonts w:ascii="Century Gothic" w:hAnsi="Century Gothic"/>
                <w:sz w:val="14"/>
                <w:szCs w:val="14"/>
              </w:rPr>
              <w:t xml:space="preserve"> como alcohol al 60% o gel desinfectante para la manipulación del equipo de protección personal.</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 xml:space="preserve">Se tiene un programa de capacitación para el personal directivo o gerencial de las acciones a realizar en la empresa para prevenir y evitar cadenas de contagio por COVID-19, puede hacerse uso del material de CLIMSS que se ubica en la liga siguiente: </w:t>
            </w:r>
            <w:hyperlink r:id="rId7" w:history="1">
              <w:r w:rsidRPr="004E57D3">
                <w:rPr>
                  <w:rStyle w:val="Hipervnculo"/>
                  <w:rFonts w:ascii="Century Gothic" w:hAnsi="Century Gothic"/>
                  <w:sz w:val="14"/>
                  <w:szCs w:val="14"/>
                </w:rPr>
                <w:t>https://climss.imss.gob.mx</w:t>
              </w:r>
            </w:hyperlink>
            <w:r w:rsidRPr="004E57D3">
              <w:rPr>
                <w:rFonts w:ascii="Century Gothic" w:hAnsi="Century Gothic"/>
                <w:sz w:val="14"/>
                <w:szCs w:val="14"/>
              </w:rPr>
              <w:t xml:space="preserve"> </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Cuenta con un instrumento para identificar síntomas y contactos en el trabajo y comunitarios</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r w:rsidR="00B55C39" w:rsidRPr="004E57D3" w:rsidTr="00B55C39">
        <w:tc>
          <w:tcPr>
            <w:tcW w:w="141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INDISPENSABLE</w:t>
            </w:r>
          </w:p>
        </w:tc>
        <w:tc>
          <w:tcPr>
            <w:tcW w:w="5953" w:type="dxa"/>
          </w:tcPr>
          <w:p w:rsidR="00B55C39" w:rsidRPr="004E57D3" w:rsidRDefault="00B55C39" w:rsidP="00B55C39">
            <w:pPr>
              <w:jc w:val="both"/>
              <w:rPr>
                <w:rFonts w:ascii="Century Gothic" w:hAnsi="Century Gothic"/>
                <w:sz w:val="14"/>
                <w:szCs w:val="14"/>
              </w:rPr>
            </w:pPr>
            <w:r w:rsidRPr="004E57D3">
              <w:rPr>
                <w:rFonts w:ascii="Century Gothic" w:hAnsi="Century Gothic"/>
                <w:sz w:val="14"/>
                <w:szCs w:val="14"/>
              </w:rPr>
              <w:t>Cuenta con una guía de actuación para los casos en que una persona trabajadora manifiesta síntomas de COVID-19, con la finalidad de protegerlo, así como al resto de las personas trabajadoras y su familia, que incluye lineamientos para manejo de personas trabajadoras sospechosas, contactos, confirmados y su reincorporación al trabajo.</w:t>
            </w:r>
          </w:p>
        </w:tc>
        <w:tc>
          <w:tcPr>
            <w:tcW w:w="409" w:type="dxa"/>
          </w:tcPr>
          <w:p w:rsidR="00B55C39" w:rsidRPr="004E57D3" w:rsidRDefault="00B55C39" w:rsidP="00B55C39">
            <w:pPr>
              <w:jc w:val="both"/>
              <w:rPr>
                <w:rFonts w:ascii="Century Gothic" w:hAnsi="Century Gothic"/>
                <w:sz w:val="14"/>
                <w:szCs w:val="14"/>
              </w:rPr>
            </w:pPr>
          </w:p>
        </w:tc>
        <w:tc>
          <w:tcPr>
            <w:tcW w:w="582" w:type="dxa"/>
          </w:tcPr>
          <w:p w:rsidR="00B55C39" w:rsidRPr="004E57D3" w:rsidRDefault="00B55C39" w:rsidP="00B55C39">
            <w:pPr>
              <w:jc w:val="both"/>
              <w:rPr>
                <w:rFonts w:ascii="Century Gothic" w:hAnsi="Century Gothic"/>
                <w:sz w:val="14"/>
                <w:szCs w:val="14"/>
              </w:rPr>
            </w:pPr>
          </w:p>
        </w:tc>
        <w:tc>
          <w:tcPr>
            <w:tcW w:w="485" w:type="dxa"/>
          </w:tcPr>
          <w:p w:rsidR="00B55C39" w:rsidRPr="004E57D3" w:rsidRDefault="00B55C39" w:rsidP="00B55C39">
            <w:pPr>
              <w:jc w:val="both"/>
              <w:rPr>
                <w:rFonts w:ascii="Century Gothic" w:hAnsi="Century Gothic"/>
                <w:sz w:val="14"/>
                <w:szCs w:val="14"/>
              </w:rPr>
            </w:pPr>
          </w:p>
        </w:tc>
      </w:tr>
    </w:tbl>
    <w:p w:rsidR="004E57D3" w:rsidRDefault="004E57D3" w:rsidP="00040BAA">
      <w:pPr>
        <w:jc w:val="both"/>
        <w:rPr>
          <w:rFonts w:ascii="Century Gothic" w:hAnsi="Century Gothic"/>
          <w:sz w:val="20"/>
          <w:szCs w:val="20"/>
        </w:rPr>
      </w:pPr>
    </w:p>
    <w:p w:rsidR="00A23AF6" w:rsidRPr="00B55C39" w:rsidRDefault="00B55C39" w:rsidP="00040BAA">
      <w:pPr>
        <w:jc w:val="both"/>
        <w:rPr>
          <w:rFonts w:ascii="Century Gothic" w:hAnsi="Century Gothic"/>
          <w:sz w:val="18"/>
          <w:szCs w:val="18"/>
        </w:rPr>
      </w:pPr>
      <w:r w:rsidRPr="00B55C39">
        <w:rPr>
          <w:rFonts w:ascii="Century Gothic" w:hAnsi="Century Gothic"/>
          <w:b/>
          <w:sz w:val="18"/>
          <w:szCs w:val="18"/>
        </w:rPr>
        <w:t>NOTA:</w:t>
      </w:r>
      <w:r>
        <w:rPr>
          <w:rFonts w:ascii="Century Gothic" w:hAnsi="Century Gothic"/>
          <w:sz w:val="18"/>
          <w:szCs w:val="18"/>
        </w:rPr>
        <w:t xml:space="preserve"> las medidas a aplicar están clasificadas en indispensable y recomendadas, para posibilitar a las personas empleadoras una ponderación en el orden de su implementación acorde con las instrucciones de la autoridad federal. Los centros de trabajo consideraran que las medidas deberán ser instrumentadas en su totalidad, y que de ninguna manera esta clasificación tiene por objeto establecer jerarquías rígidas sobre su importancia.</w:t>
      </w:r>
    </w:p>
    <w:sectPr w:rsidR="00A23AF6" w:rsidRPr="00B55C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538FC"/>
    <w:multiLevelType w:val="hybridMultilevel"/>
    <w:tmpl w:val="D59ED09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3A06E44"/>
    <w:multiLevelType w:val="hybridMultilevel"/>
    <w:tmpl w:val="ABFA138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AB"/>
    <w:rsid w:val="00040BAA"/>
    <w:rsid w:val="001C2FE5"/>
    <w:rsid w:val="00261EA9"/>
    <w:rsid w:val="004E57D3"/>
    <w:rsid w:val="005B76F5"/>
    <w:rsid w:val="006059FF"/>
    <w:rsid w:val="00681EF1"/>
    <w:rsid w:val="00730F34"/>
    <w:rsid w:val="008E50F0"/>
    <w:rsid w:val="009206AB"/>
    <w:rsid w:val="00A23AF6"/>
    <w:rsid w:val="00A513E7"/>
    <w:rsid w:val="00B55C39"/>
    <w:rsid w:val="00BD64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D6D99-E88E-461F-8DE0-A2F4198C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6428"/>
    <w:pPr>
      <w:ind w:left="720"/>
      <w:contextualSpacing/>
    </w:pPr>
  </w:style>
  <w:style w:type="character" w:styleId="Hipervnculo">
    <w:name w:val="Hyperlink"/>
    <w:basedOn w:val="Fuentedeprrafopredeter"/>
    <w:uiPriority w:val="99"/>
    <w:unhideWhenUsed/>
    <w:rsid w:val="006059FF"/>
    <w:rPr>
      <w:color w:val="0563C1" w:themeColor="hyperlink"/>
      <w:u w:val="single"/>
    </w:rPr>
  </w:style>
  <w:style w:type="table" w:styleId="Tablaconcuadrcula">
    <w:name w:val="Table Grid"/>
    <w:basedOn w:val="Tablanormal"/>
    <w:uiPriority w:val="39"/>
    <w:rsid w:val="00A23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656472">
      <w:bodyDiv w:val="1"/>
      <w:marLeft w:val="0"/>
      <w:marRight w:val="0"/>
      <w:marTop w:val="0"/>
      <w:marBottom w:val="0"/>
      <w:divBdr>
        <w:top w:val="none" w:sz="0" w:space="0" w:color="auto"/>
        <w:left w:val="none" w:sz="0" w:space="0" w:color="auto"/>
        <w:bottom w:val="none" w:sz="0" w:space="0" w:color="auto"/>
        <w:right w:val="none" w:sz="0" w:space="0" w:color="auto"/>
      </w:divBdr>
      <w:divsChild>
        <w:div w:id="2132243505">
          <w:marLeft w:val="0"/>
          <w:marRight w:val="0"/>
          <w:marTop w:val="0"/>
          <w:marBottom w:val="101"/>
          <w:divBdr>
            <w:top w:val="none" w:sz="0" w:space="0" w:color="auto"/>
            <w:left w:val="none" w:sz="0" w:space="0" w:color="auto"/>
            <w:bottom w:val="none" w:sz="0" w:space="0" w:color="auto"/>
            <w:right w:val="none" w:sz="0" w:space="0" w:color="auto"/>
          </w:divBdr>
        </w:div>
        <w:div w:id="898904443">
          <w:marLeft w:val="0"/>
          <w:marRight w:val="0"/>
          <w:marTop w:val="0"/>
          <w:marBottom w:val="101"/>
          <w:divBdr>
            <w:top w:val="none" w:sz="0" w:space="0" w:color="auto"/>
            <w:left w:val="none" w:sz="0" w:space="0" w:color="auto"/>
            <w:bottom w:val="none" w:sz="0" w:space="0" w:color="auto"/>
            <w:right w:val="none" w:sz="0" w:space="0" w:color="auto"/>
          </w:divBdr>
        </w:div>
        <w:div w:id="1229539489">
          <w:marLeft w:val="0"/>
          <w:marRight w:val="0"/>
          <w:marTop w:val="0"/>
          <w:marBottom w:val="101"/>
          <w:divBdr>
            <w:top w:val="none" w:sz="0" w:space="0" w:color="auto"/>
            <w:left w:val="none" w:sz="0" w:space="0" w:color="auto"/>
            <w:bottom w:val="none" w:sz="0" w:space="0" w:color="auto"/>
            <w:right w:val="none" w:sz="0" w:space="0" w:color="auto"/>
          </w:divBdr>
        </w:div>
        <w:div w:id="1874340200">
          <w:marLeft w:val="0"/>
          <w:marRight w:val="0"/>
          <w:marTop w:val="0"/>
          <w:marBottom w:val="101"/>
          <w:divBdr>
            <w:top w:val="none" w:sz="0" w:space="0" w:color="auto"/>
            <w:left w:val="none" w:sz="0" w:space="0" w:color="auto"/>
            <w:bottom w:val="none" w:sz="0" w:space="0" w:color="auto"/>
            <w:right w:val="none" w:sz="0" w:space="0" w:color="auto"/>
          </w:divBdr>
        </w:div>
        <w:div w:id="52123420">
          <w:marLeft w:val="0"/>
          <w:marRight w:val="0"/>
          <w:marTop w:val="0"/>
          <w:marBottom w:val="101"/>
          <w:divBdr>
            <w:top w:val="none" w:sz="0" w:space="0" w:color="auto"/>
            <w:left w:val="none" w:sz="0" w:space="0" w:color="auto"/>
            <w:bottom w:val="none" w:sz="0" w:space="0" w:color="auto"/>
            <w:right w:val="none" w:sz="0" w:space="0" w:color="auto"/>
          </w:divBdr>
        </w:div>
        <w:div w:id="1683125615">
          <w:marLeft w:val="0"/>
          <w:marRight w:val="0"/>
          <w:marTop w:val="0"/>
          <w:marBottom w:val="101"/>
          <w:divBdr>
            <w:top w:val="none" w:sz="0" w:space="0" w:color="auto"/>
            <w:left w:val="none" w:sz="0" w:space="0" w:color="auto"/>
            <w:bottom w:val="none" w:sz="0" w:space="0" w:color="auto"/>
            <w:right w:val="none" w:sz="0" w:space="0" w:color="auto"/>
          </w:divBdr>
        </w:div>
        <w:div w:id="1043793063">
          <w:marLeft w:val="0"/>
          <w:marRight w:val="0"/>
          <w:marTop w:val="0"/>
          <w:marBottom w:val="101"/>
          <w:divBdr>
            <w:top w:val="none" w:sz="0" w:space="0" w:color="auto"/>
            <w:left w:val="none" w:sz="0" w:space="0" w:color="auto"/>
            <w:bottom w:val="none" w:sz="0" w:space="0" w:color="auto"/>
            <w:right w:val="none" w:sz="0" w:space="0" w:color="auto"/>
          </w:divBdr>
        </w:div>
        <w:div w:id="2068870829">
          <w:marLeft w:val="0"/>
          <w:marRight w:val="0"/>
          <w:marTop w:val="0"/>
          <w:marBottom w:val="101"/>
          <w:divBdr>
            <w:top w:val="none" w:sz="0" w:space="0" w:color="auto"/>
            <w:left w:val="none" w:sz="0" w:space="0" w:color="auto"/>
            <w:bottom w:val="none" w:sz="0" w:space="0" w:color="auto"/>
            <w:right w:val="none" w:sz="0" w:space="0" w:color="auto"/>
          </w:divBdr>
        </w:div>
        <w:div w:id="1919516121">
          <w:marLeft w:val="0"/>
          <w:marRight w:val="0"/>
          <w:marTop w:val="0"/>
          <w:marBottom w:val="101"/>
          <w:divBdr>
            <w:top w:val="none" w:sz="0" w:space="0" w:color="auto"/>
            <w:left w:val="none" w:sz="0" w:space="0" w:color="auto"/>
            <w:bottom w:val="none" w:sz="0" w:space="0" w:color="auto"/>
            <w:right w:val="none" w:sz="0" w:space="0" w:color="auto"/>
          </w:divBdr>
        </w:div>
        <w:div w:id="323631652">
          <w:marLeft w:val="0"/>
          <w:marRight w:val="0"/>
          <w:marTop w:val="0"/>
          <w:marBottom w:val="101"/>
          <w:divBdr>
            <w:top w:val="none" w:sz="0" w:space="0" w:color="auto"/>
            <w:left w:val="none" w:sz="0" w:space="0" w:color="auto"/>
            <w:bottom w:val="none" w:sz="0" w:space="0" w:color="auto"/>
            <w:right w:val="none" w:sz="0" w:space="0" w:color="auto"/>
          </w:divBdr>
        </w:div>
        <w:div w:id="186795329">
          <w:marLeft w:val="0"/>
          <w:marRight w:val="0"/>
          <w:marTop w:val="0"/>
          <w:marBottom w:val="101"/>
          <w:divBdr>
            <w:top w:val="none" w:sz="0" w:space="0" w:color="auto"/>
            <w:left w:val="none" w:sz="0" w:space="0" w:color="auto"/>
            <w:bottom w:val="none" w:sz="0" w:space="0" w:color="auto"/>
            <w:right w:val="none" w:sz="0" w:space="0" w:color="auto"/>
          </w:divBdr>
        </w:div>
        <w:div w:id="1706635485">
          <w:marLeft w:val="0"/>
          <w:marRight w:val="0"/>
          <w:marTop w:val="0"/>
          <w:marBottom w:val="101"/>
          <w:divBdr>
            <w:top w:val="none" w:sz="0" w:space="0" w:color="auto"/>
            <w:left w:val="none" w:sz="0" w:space="0" w:color="auto"/>
            <w:bottom w:val="none" w:sz="0" w:space="0" w:color="auto"/>
            <w:right w:val="none" w:sz="0" w:space="0" w:color="auto"/>
          </w:divBdr>
        </w:div>
        <w:div w:id="568224908">
          <w:marLeft w:val="0"/>
          <w:marRight w:val="0"/>
          <w:marTop w:val="0"/>
          <w:marBottom w:val="101"/>
          <w:divBdr>
            <w:top w:val="none" w:sz="0" w:space="0" w:color="auto"/>
            <w:left w:val="none" w:sz="0" w:space="0" w:color="auto"/>
            <w:bottom w:val="none" w:sz="0" w:space="0" w:color="auto"/>
            <w:right w:val="none" w:sz="0" w:space="0" w:color="auto"/>
          </w:divBdr>
        </w:div>
        <w:div w:id="1617368213">
          <w:marLeft w:val="0"/>
          <w:marRight w:val="0"/>
          <w:marTop w:val="0"/>
          <w:marBottom w:val="101"/>
          <w:divBdr>
            <w:top w:val="none" w:sz="0" w:space="0" w:color="auto"/>
            <w:left w:val="none" w:sz="0" w:space="0" w:color="auto"/>
            <w:bottom w:val="none" w:sz="0" w:space="0" w:color="auto"/>
            <w:right w:val="none" w:sz="0" w:space="0" w:color="auto"/>
          </w:divBdr>
        </w:div>
        <w:div w:id="473256654">
          <w:marLeft w:val="0"/>
          <w:marRight w:val="0"/>
          <w:marTop w:val="0"/>
          <w:marBottom w:val="101"/>
          <w:divBdr>
            <w:top w:val="none" w:sz="0" w:space="0" w:color="auto"/>
            <w:left w:val="none" w:sz="0" w:space="0" w:color="auto"/>
            <w:bottom w:val="none" w:sz="0" w:space="0" w:color="auto"/>
            <w:right w:val="none" w:sz="0" w:space="0" w:color="auto"/>
          </w:divBdr>
        </w:div>
        <w:div w:id="1540509141">
          <w:marLeft w:val="0"/>
          <w:marRight w:val="0"/>
          <w:marTop w:val="0"/>
          <w:marBottom w:val="101"/>
          <w:divBdr>
            <w:top w:val="none" w:sz="0" w:space="0" w:color="auto"/>
            <w:left w:val="none" w:sz="0" w:space="0" w:color="auto"/>
            <w:bottom w:val="none" w:sz="0" w:space="0" w:color="auto"/>
            <w:right w:val="none" w:sz="0" w:space="0" w:color="auto"/>
          </w:divBdr>
        </w:div>
        <w:div w:id="2046364600">
          <w:marLeft w:val="0"/>
          <w:marRight w:val="0"/>
          <w:marTop w:val="0"/>
          <w:marBottom w:val="101"/>
          <w:divBdr>
            <w:top w:val="none" w:sz="0" w:space="0" w:color="auto"/>
            <w:left w:val="none" w:sz="0" w:space="0" w:color="auto"/>
            <w:bottom w:val="none" w:sz="0" w:space="0" w:color="auto"/>
            <w:right w:val="none" w:sz="0" w:space="0" w:color="auto"/>
          </w:divBdr>
        </w:div>
        <w:div w:id="759105272">
          <w:marLeft w:val="0"/>
          <w:marRight w:val="0"/>
          <w:marTop w:val="0"/>
          <w:marBottom w:val="101"/>
          <w:divBdr>
            <w:top w:val="none" w:sz="0" w:space="0" w:color="auto"/>
            <w:left w:val="none" w:sz="0" w:space="0" w:color="auto"/>
            <w:bottom w:val="none" w:sz="0" w:space="0" w:color="auto"/>
            <w:right w:val="none" w:sz="0" w:space="0" w:color="auto"/>
          </w:divBdr>
        </w:div>
        <w:div w:id="1604992487">
          <w:marLeft w:val="0"/>
          <w:marRight w:val="0"/>
          <w:marTop w:val="0"/>
          <w:marBottom w:val="101"/>
          <w:divBdr>
            <w:top w:val="none" w:sz="0" w:space="0" w:color="auto"/>
            <w:left w:val="none" w:sz="0" w:space="0" w:color="auto"/>
            <w:bottom w:val="none" w:sz="0" w:space="0" w:color="auto"/>
            <w:right w:val="none" w:sz="0" w:space="0" w:color="auto"/>
          </w:divBdr>
        </w:div>
        <w:div w:id="1603488123">
          <w:marLeft w:val="0"/>
          <w:marRight w:val="0"/>
          <w:marTop w:val="0"/>
          <w:marBottom w:val="101"/>
          <w:divBdr>
            <w:top w:val="none" w:sz="0" w:space="0" w:color="auto"/>
            <w:left w:val="none" w:sz="0" w:space="0" w:color="auto"/>
            <w:bottom w:val="none" w:sz="0" w:space="0" w:color="auto"/>
            <w:right w:val="none" w:sz="0" w:space="0" w:color="auto"/>
          </w:divBdr>
        </w:div>
        <w:div w:id="425469383">
          <w:marLeft w:val="0"/>
          <w:marRight w:val="0"/>
          <w:marTop w:val="0"/>
          <w:marBottom w:val="101"/>
          <w:divBdr>
            <w:top w:val="none" w:sz="0" w:space="0" w:color="auto"/>
            <w:left w:val="none" w:sz="0" w:space="0" w:color="auto"/>
            <w:bottom w:val="none" w:sz="0" w:space="0" w:color="auto"/>
            <w:right w:val="none" w:sz="0" w:space="0" w:color="auto"/>
          </w:divBdr>
        </w:div>
        <w:div w:id="1526362112">
          <w:marLeft w:val="0"/>
          <w:marRight w:val="0"/>
          <w:marTop w:val="0"/>
          <w:marBottom w:val="101"/>
          <w:divBdr>
            <w:top w:val="none" w:sz="0" w:space="0" w:color="auto"/>
            <w:left w:val="none" w:sz="0" w:space="0" w:color="auto"/>
            <w:bottom w:val="none" w:sz="0" w:space="0" w:color="auto"/>
            <w:right w:val="none" w:sz="0" w:space="0" w:color="auto"/>
          </w:divBdr>
        </w:div>
        <w:div w:id="1378432025">
          <w:marLeft w:val="0"/>
          <w:marRight w:val="0"/>
          <w:marTop w:val="0"/>
          <w:marBottom w:val="101"/>
          <w:divBdr>
            <w:top w:val="none" w:sz="0" w:space="0" w:color="auto"/>
            <w:left w:val="none" w:sz="0" w:space="0" w:color="auto"/>
            <w:bottom w:val="none" w:sz="0" w:space="0" w:color="auto"/>
            <w:right w:val="none" w:sz="0" w:space="0" w:color="auto"/>
          </w:divBdr>
        </w:div>
      </w:divsChild>
    </w:div>
    <w:div w:id="1673608095">
      <w:bodyDiv w:val="1"/>
      <w:marLeft w:val="0"/>
      <w:marRight w:val="0"/>
      <w:marTop w:val="0"/>
      <w:marBottom w:val="0"/>
      <w:divBdr>
        <w:top w:val="none" w:sz="0" w:space="0" w:color="auto"/>
        <w:left w:val="none" w:sz="0" w:space="0" w:color="auto"/>
        <w:bottom w:val="none" w:sz="0" w:space="0" w:color="auto"/>
        <w:right w:val="none" w:sz="0" w:space="0" w:color="auto"/>
      </w:divBdr>
      <w:divsChild>
        <w:div w:id="140050861">
          <w:marLeft w:val="0"/>
          <w:marRight w:val="0"/>
          <w:marTop w:val="0"/>
          <w:marBottom w:val="101"/>
          <w:divBdr>
            <w:top w:val="none" w:sz="0" w:space="0" w:color="auto"/>
            <w:left w:val="none" w:sz="0" w:space="0" w:color="auto"/>
            <w:bottom w:val="none" w:sz="0" w:space="0" w:color="auto"/>
            <w:right w:val="none" w:sz="0" w:space="0" w:color="auto"/>
          </w:divBdr>
        </w:div>
        <w:div w:id="1228957160">
          <w:marLeft w:val="0"/>
          <w:marRight w:val="0"/>
          <w:marTop w:val="0"/>
          <w:marBottom w:val="101"/>
          <w:divBdr>
            <w:top w:val="none" w:sz="0" w:space="0" w:color="auto"/>
            <w:left w:val="none" w:sz="0" w:space="0" w:color="auto"/>
            <w:bottom w:val="none" w:sz="0" w:space="0" w:color="auto"/>
            <w:right w:val="none" w:sz="0" w:space="0" w:color="auto"/>
          </w:divBdr>
        </w:div>
        <w:div w:id="747508163">
          <w:marLeft w:val="0"/>
          <w:marRight w:val="0"/>
          <w:marTop w:val="0"/>
          <w:marBottom w:val="101"/>
          <w:divBdr>
            <w:top w:val="none" w:sz="0" w:space="0" w:color="auto"/>
            <w:left w:val="none" w:sz="0" w:space="0" w:color="auto"/>
            <w:bottom w:val="none" w:sz="0" w:space="0" w:color="auto"/>
            <w:right w:val="none" w:sz="0" w:space="0" w:color="auto"/>
          </w:divBdr>
        </w:div>
        <w:div w:id="12729735">
          <w:marLeft w:val="0"/>
          <w:marRight w:val="0"/>
          <w:marTop w:val="0"/>
          <w:marBottom w:val="101"/>
          <w:divBdr>
            <w:top w:val="none" w:sz="0" w:space="0" w:color="auto"/>
            <w:left w:val="none" w:sz="0" w:space="0" w:color="auto"/>
            <w:bottom w:val="none" w:sz="0" w:space="0" w:color="auto"/>
            <w:right w:val="none" w:sz="0" w:space="0" w:color="auto"/>
          </w:divBdr>
        </w:div>
        <w:div w:id="195122994">
          <w:marLeft w:val="0"/>
          <w:marRight w:val="0"/>
          <w:marTop w:val="0"/>
          <w:marBottom w:val="101"/>
          <w:divBdr>
            <w:top w:val="none" w:sz="0" w:space="0" w:color="auto"/>
            <w:left w:val="none" w:sz="0" w:space="0" w:color="auto"/>
            <w:bottom w:val="none" w:sz="0" w:space="0" w:color="auto"/>
            <w:right w:val="none" w:sz="0" w:space="0" w:color="auto"/>
          </w:divBdr>
        </w:div>
        <w:div w:id="972170588">
          <w:marLeft w:val="0"/>
          <w:marRight w:val="0"/>
          <w:marTop w:val="0"/>
          <w:marBottom w:val="101"/>
          <w:divBdr>
            <w:top w:val="none" w:sz="0" w:space="0" w:color="auto"/>
            <w:left w:val="none" w:sz="0" w:space="0" w:color="auto"/>
            <w:bottom w:val="none" w:sz="0" w:space="0" w:color="auto"/>
            <w:right w:val="none" w:sz="0" w:space="0" w:color="auto"/>
          </w:divBdr>
        </w:div>
        <w:div w:id="1060858089">
          <w:marLeft w:val="0"/>
          <w:marRight w:val="0"/>
          <w:marTop w:val="0"/>
          <w:marBottom w:val="101"/>
          <w:divBdr>
            <w:top w:val="none" w:sz="0" w:space="0" w:color="auto"/>
            <w:left w:val="none" w:sz="0" w:space="0" w:color="auto"/>
            <w:bottom w:val="none" w:sz="0" w:space="0" w:color="auto"/>
            <w:right w:val="none" w:sz="0" w:space="0" w:color="auto"/>
          </w:divBdr>
        </w:div>
        <w:div w:id="1259213826">
          <w:marLeft w:val="0"/>
          <w:marRight w:val="0"/>
          <w:marTop w:val="0"/>
          <w:marBottom w:val="101"/>
          <w:divBdr>
            <w:top w:val="none" w:sz="0" w:space="0" w:color="auto"/>
            <w:left w:val="none" w:sz="0" w:space="0" w:color="auto"/>
            <w:bottom w:val="none" w:sz="0" w:space="0" w:color="auto"/>
            <w:right w:val="none" w:sz="0" w:space="0" w:color="auto"/>
          </w:divBdr>
        </w:div>
        <w:div w:id="754934546">
          <w:marLeft w:val="0"/>
          <w:marRight w:val="0"/>
          <w:marTop w:val="0"/>
          <w:marBottom w:val="101"/>
          <w:divBdr>
            <w:top w:val="none" w:sz="0" w:space="0" w:color="auto"/>
            <w:left w:val="none" w:sz="0" w:space="0" w:color="auto"/>
            <w:bottom w:val="none" w:sz="0" w:space="0" w:color="auto"/>
            <w:right w:val="none" w:sz="0" w:space="0" w:color="auto"/>
          </w:divBdr>
        </w:div>
        <w:div w:id="1160543519">
          <w:marLeft w:val="0"/>
          <w:marRight w:val="0"/>
          <w:marTop w:val="0"/>
          <w:marBottom w:val="101"/>
          <w:divBdr>
            <w:top w:val="none" w:sz="0" w:space="0" w:color="auto"/>
            <w:left w:val="none" w:sz="0" w:space="0" w:color="auto"/>
            <w:bottom w:val="none" w:sz="0" w:space="0" w:color="auto"/>
            <w:right w:val="none" w:sz="0" w:space="0" w:color="auto"/>
          </w:divBdr>
        </w:div>
        <w:div w:id="1012413986">
          <w:marLeft w:val="0"/>
          <w:marRight w:val="0"/>
          <w:marTop w:val="0"/>
          <w:marBottom w:val="101"/>
          <w:divBdr>
            <w:top w:val="none" w:sz="0" w:space="0" w:color="auto"/>
            <w:left w:val="none" w:sz="0" w:space="0" w:color="auto"/>
            <w:bottom w:val="none" w:sz="0" w:space="0" w:color="auto"/>
            <w:right w:val="none" w:sz="0" w:space="0" w:color="auto"/>
          </w:divBdr>
        </w:div>
        <w:div w:id="1068922927">
          <w:marLeft w:val="0"/>
          <w:marRight w:val="0"/>
          <w:marTop w:val="0"/>
          <w:marBottom w:val="101"/>
          <w:divBdr>
            <w:top w:val="none" w:sz="0" w:space="0" w:color="auto"/>
            <w:left w:val="none" w:sz="0" w:space="0" w:color="auto"/>
            <w:bottom w:val="none" w:sz="0" w:space="0" w:color="auto"/>
            <w:right w:val="none" w:sz="0" w:space="0" w:color="auto"/>
          </w:divBdr>
        </w:div>
        <w:div w:id="1319261518">
          <w:marLeft w:val="0"/>
          <w:marRight w:val="0"/>
          <w:marTop w:val="0"/>
          <w:marBottom w:val="101"/>
          <w:divBdr>
            <w:top w:val="none" w:sz="0" w:space="0" w:color="auto"/>
            <w:left w:val="none" w:sz="0" w:space="0" w:color="auto"/>
            <w:bottom w:val="none" w:sz="0" w:space="0" w:color="auto"/>
            <w:right w:val="none" w:sz="0" w:space="0" w:color="auto"/>
          </w:divBdr>
        </w:div>
        <w:div w:id="814684654">
          <w:marLeft w:val="0"/>
          <w:marRight w:val="0"/>
          <w:marTop w:val="0"/>
          <w:marBottom w:val="101"/>
          <w:divBdr>
            <w:top w:val="none" w:sz="0" w:space="0" w:color="auto"/>
            <w:left w:val="none" w:sz="0" w:space="0" w:color="auto"/>
            <w:bottom w:val="none" w:sz="0" w:space="0" w:color="auto"/>
            <w:right w:val="none" w:sz="0" w:space="0" w:color="auto"/>
          </w:divBdr>
        </w:div>
        <w:div w:id="1128089319">
          <w:marLeft w:val="0"/>
          <w:marRight w:val="0"/>
          <w:marTop w:val="0"/>
          <w:marBottom w:val="101"/>
          <w:divBdr>
            <w:top w:val="none" w:sz="0" w:space="0" w:color="auto"/>
            <w:left w:val="none" w:sz="0" w:space="0" w:color="auto"/>
            <w:bottom w:val="none" w:sz="0" w:space="0" w:color="auto"/>
            <w:right w:val="none" w:sz="0" w:space="0" w:color="auto"/>
          </w:divBdr>
        </w:div>
        <w:div w:id="832185933">
          <w:marLeft w:val="0"/>
          <w:marRight w:val="0"/>
          <w:marTop w:val="0"/>
          <w:marBottom w:val="101"/>
          <w:divBdr>
            <w:top w:val="none" w:sz="0" w:space="0" w:color="auto"/>
            <w:left w:val="none" w:sz="0" w:space="0" w:color="auto"/>
            <w:bottom w:val="none" w:sz="0" w:space="0" w:color="auto"/>
            <w:right w:val="none" w:sz="0" w:space="0" w:color="auto"/>
          </w:divBdr>
        </w:div>
        <w:div w:id="1720780294">
          <w:marLeft w:val="0"/>
          <w:marRight w:val="0"/>
          <w:marTop w:val="0"/>
          <w:marBottom w:val="101"/>
          <w:divBdr>
            <w:top w:val="none" w:sz="0" w:space="0" w:color="auto"/>
            <w:left w:val="none" w:sz="0" w:space="0" w:color="auto"/>
            <w:bottom w:val="none" w:sz="0" w:space="0" w:color="auto"/>
            <w:right w:val="none" w:sz="0" w:space="0" w:color="auto"/>
          </w:divBdr>
        </w:div>
        <w:div w:id="241454602">
          <w:marLeft w:val="0"/>
          <w:marRight w:val="0"/>
          <w:marTop w:val="0"/>
          <w:marBottom w:val="101"/>
          <w:divBdr>
            <w:top w:val="none" w:sz="0" w:space="0" w:color="auto"/>
            <w:left w:val="none" w:sz="0" w:space="0" w:color="auto"/>
            <w:bottom w:val="none" w:sz="0" w:space="0" w:color="auto"/>
            <w:right w:val="none" w:sz="0" w:space="0" w:color="auto"/>
          </w:divBdr>
        </w:div>
        <w:div w:id="2026318299">
          <w:marLeft w:val="0"/>
          <w:marRight w:val="0"/>
          <w:marTop w:val="0"/>
          <w:marBottom w:val="101"/>
          <w:divBdr>
            <w:top w:val="none" w:sz="0" w:space="0" w:color="auto"/>
            <w:left w:val="none" w:sz="0" w:space="0" w:color="auto"/>
            <w:bottom w:val="none" w:sz="0" w:space="0" w:color="auto"/>
            <w:right w:val="none" w:sz="0" w:space="0" w:color="auto"/>
          </w:divBdr>
        </w:div>
        <w:div w:id="1422485493">
          <w:marLeft w:val="0"/>
          <w:marRight w:val="0"/>
          <w:marTop w:val="0"/>
          <w:marBottom w:val="101"/>
          <w:divBdr>
            <w:top w:val="none" w:sz="0" w:space="0" w:color="auto"/>
            <w:left w:val="none" w:sz="0" w:space="0" w:color="auto"/>
            <w:bottom w:val="none" w:sz="0" w:space="0" w:color="auto"/>
            <w:right w:val="none" w:sz="0" w:space="0" w:color="auto"/>
          </w:divBdr>
        </w:div>
        <w:div w:id="1342245988">
          <w:marLeft w:val="0"/>
          <w:marRight w:val="0"/>
          <w:marTop w:val="0"/>
          <w:marBottom w:val="101"/>
          <w:divBdr>
            <w:top w:val="none" w:sz="0" w:space="0" w:color="auto"/>
            <w:left w:val="none" w:sz="0" w:space="0" w:color="auto"/>
            <w:bottom w:val="none" w:sz="0" w:space="0" w:color="auto"/>
            <w:right w:val="none" w:sz="0" w:space="0" w:color="auto"/>
          </w:divBdr>
        </w:div>
        <w:div w:id="1875339644">
          <w:marLeft w:val="0"/>
          <w:marRight w:val="0"/>
          <w:marTop w:val="0"/>
          <w:marBottom w:val="101"/>
          <w:divBdr>
            <w:top w:val="none" w:sz="0" w:space="0" w:color="auto"/>
            <w:left w:val="none" w:sz="0" w:space="0" w:color="auto"/>
            <w:bottom w:val="none" w:sz="0" w:space="0" w:color="auto"/>
            <w:right w:val="none" w:sz="0" w:space="0" w:color="auto"/>
          </w:divBdr>
        </w:div>
        <w:div w:id="1052733397">
          <w:marLeft w:val="0"/>
          <w:marRight w:val="0"/>
          <w:marTop w:val="0"/>
          <w:marBottom w:val="101"/>
          <w:divBdr>
            <w:top w:val="none" w:sz="0" w:space="0" w:color="auto"/>
            <w:left w:val="none" w:sz="0" w:space="0" w:color="auto"/>
            <w:bottom w:val="none" w:sz="0" w:space="0" w:color="auto"/>
            <w:right w:val="none" w:sz="0" w:space="0" w:color="auto"/>
          </w:divBdr>
        </w:div>
        <w:div w:id="1764916632">
          <w:marLeft w:val="0"/>
          <w:marRight w:val="0"/>
          <w:marTop w:val="0"/>
          <w:marBottom w:val="101"/>
          <w:divBdr>
            <w:top w:val="none" w:sz="0" w:space="0" w:color="auto"/>
            <w:left w:val="none" w:sz="0" w:space="0" w:color="auto"/>
            <w:bottom w:val="none" w:sz="0" w:space="0" w:color="auto"/>
            <w:right w:val="none" w:sz="0" w:space="0" w:color="auto"/>
          </w:divBdr>
        </w:div>
        <w:div w:id="1596940408">
          <w:marLeft w:val="0"/>
          <w:marRight w:val="0"/>
          <w:marTop w:val="0"/>
          <w:marBottom w:val="101"/>
          <w:divBdr>
            <w:top w:val="none" w:sz="0" w:space="0" w:color="auto"/>
            <w:left w:val="none" w:sz="0" w:space="0" w:color="auto"/>
            <w:bottom w:val="none" w:sz="0" w:space="0" w:color="auto"/>
            <w:right w:val="none" w:sz="0" w:space="0" w:color="auto"/>
          </w:divBdr>
        </w:div>
        <w:div w:id="244874598">
          <w:marLeft w:val="0"/>
          <w:marRight w:val="0"/>
          <w:marTop w:val="0"/>
          <w:marBottom w:val="101"/>
          <w:divBdr>
            <w:top w:val="none" w:sz="0" w:space="0" w:color="auto"/>
            <w:left w:val="none" w:sz="0" w:space="0" w:color="auto"/>
            <w:bottom w:val="none" w:sz="0" w:space="0" w:color="auto"/>
            <w:right w:val="none" w:sz="0" w:space="0" w:color="auto"/>
          </w:divBdr>
        </w:div>
        <w:div w:id="1570187013">
          <w:marLeft w:val="0"/>
          <w:marRight w:val="0"/>
          <w:marTop w:val="0"/>
          <w:marBottom w:val="101"/>
          <w:divBdr>
            <w:top w:val="none" w:sz="0" w:space="0" w:color="auto"/>
            <w:left w:val="none" w:sz="0" w:space="0" w:color="auto"/>
            <w:bottom w:val="none" w:sz="0" w:space="0" w:color="auto"/>
            <w:right w:val="none" w:sz="0" w:space="0" w:color="auto"/>
          </w:divBdr>
        </w:div>
        <w:div w:id="261114625">
          <w:marLeft w:val="0"/>
          <w:marRight w:val="0"/>
          <w:marTop w:val="0"/>
          <w:marBottom w:val="101"/>
          <w:divBdr>
            <w:top w:val="none" w:sz="0" w:space="0" w:color="auto"/>
            <w:left w:val="none" w:sz="0" w:space="0" w:color="auto"/>
            <w:bottom w:val="none" w:sz="0" w:space="0" w:color="auto"/>
            <w:right w:val="none" w:sz="0" w:space="0" w:color="auto"/>
          </w:divBdr>
        </w:div>
        <w:div w:id="321659943">
          <w:marLeft w:val="0"/>
          <w:marRight w:val="0"/>
          <w:marTop w:val="0"/>
          <w:marBottom w:val="101"/>
          <w:divBdr>
            <w:top w:val="none" w:sz="0" w:space="0" w:color="auto"/>
            <w:left w:val="none" w:sz="0" w:space="0" w:color="auto"/>
            <w:bottom w:val="none" w:sz="0" w:space="0" w:color="auto"/>
            <w:right w:val="none" w:sz="0" w:space="0" w:color="auto"/>
          </w:divBdr>
        </w:div>
        <w:div w:id="1820145752">
          <w:marLeft w:val="0"/>
          <w:marRight w:val="0"/>
          <w:marTop w:val="0"/>
          <w:marBottom w:val="101"/>
          <w:divBdr>
            <w:top w:val="none" w:sz="0" w:space="0" w:color="auto"/>
            <w:left w:val="none" w:sz="0" w:space="0" w:color="auto"/>
            <w:bottom w:val="none" w:sz="0" w:space="0" w:color="auto"/>
            <w:right w:val="none" w:sz="0" w:space="0" w:color="auto"/>
          </w:divBdr>
        </w:div>
        <w:div w:id="599995937">
          <w:marLeft w:val="0"/>
          <w:marRight w:val="0"/>
          <w:marTop w:val="0"/>
          <w:marBottom w:val="101"/>
          <w:divBdr>
            <w:top w:val="none" w:sz="0" w:space="0" w:color="auto"/>
            <w:left w:val="none" w:sz="0" w:space="0" w:color="auto"/>
            <w:bottom w:val="none" w:sz="0" w:space="0" w:color="auto"/>
            <w:right w:val="none" w:sz="0" w:space="0" w:color="auto"/>
          </w:divBdr>
        </w:div>
        <w:div w:id="386419047">
          <w:marLeft w:val="0"/>
          <w:marRight w:val="0"/>
          <w:marTop w:val="0"/>
          <w:marBottom w:val="101"/>
          <w:divBdr>
            <w:top w:val="none" w:sz="0" w:space="0" w:color="auto"/>
            <w:left w:val="none" w:sz="0" w:space="0" w:color="auto"/>
            <w:bottom w:val="none" w:sz="0" w:space="0" w:color="auto"/>
            <w:right w:val="none" w:sz="0" w:space="0" w:color="auto"/>
          </w:divBdr>
        </w:div>
        <w:div w:id="388959136">
          <w:marLeft w:val="0"/>
          <w:marRight w:val="0"/>
          <w:marTop w:val="0"/>
          <w:marBottom w:val="101"/>
          <w:divBdr>
            <w:top w:val="none" w:sz="0" w:space="0" w:color="auto"/>
            <w:left w:val="none" w:sz="0" w:space="0" w:color="auto"/>
            <w:bottom w:val="none" w:sz="0" w:space="0" w:color="auto"/>
            <w:right w:val="none" w:sz="0" w:space="0" w:color="auto"/>
          </w:divBdr>
        </w:div>
        <w:div w:id="48697666">
          <w:marLeft w:val="0"/>
          <w:marRight w:val="0"/>
          <w:marTop w:val="0"/>
          <w:marBottom w:val="101"/>
          <w:divBdr>
            <w:top w:val="none" w:sz="0" w:space="0" w:color="auto"/>
            <w:left w:val="none" w:sz="0" w:space="0" w:color="auto"/>
            <w:bottom w:val="none" w:sz="0" w:space="0" w:color="auto"/>
            <w:right w:val="none" w:sz="0" w:space="0" w:color="auto"/>
          </w:divBdr>
        </w:div>
        <w:div w:id="48216041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ss.imss.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evanormalidad.gob.mx" TargetMode="External"/><Relationship Id="rId5" Type="http://schemas.openxmlformats.org/officeDocument/2006/relationships/hyperlink" Target="http://www.nuevanormalidad.gob.m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1698</Words>
  <Characters>9342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Robles</dc:creator>
  <cp:keywords/>
  <dc:description/>
  <cp:lastModifiedBy>gustavo Robles</cp:lastModifiedBy>
  <cp:revision>4</cp:revision>
  <dcterms:created xsi:type="dcterms:W3CDTF">2020-06-01T15:15:00Z</dcterms:created>
  <dcterms:modified xsi:type="dcterms:W3CDTF">2020-06-01T17:17:00Z</dcterms:modified>
</cp:coreProperties>
</file>